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before="0" w:beforeLines="-2147483648" w:after="0" w:afterLines="-2147483648" w:line="420" w:lineRule="atLeast"/>
        <w:ind w:firstLine="0" w:firstLineChars="0"/>
        <w:jc w:val="center"/>
        <w:textAlignment w:val="auto"/>
        <w:rPr>
          <w:rFonts w:hint="default" w:ascii="Times New Roman" w:hAnsi="Times New Roman" w:eastAsia="仿宋" w:cs="Times New Roman"/>
          <w:b/>
          <w:sz w:val="28"/>
          <w:szCs w:val="28"/>
        </w:rPr>
      </w:pPr>
      <w:bookmarkStart w:id="29" w:name="_GoBack"/>
      <w:r>
        <w:rPr>
          <w:rFonts w:hint="default" w:ascii="Times New Roman" w:hAnsi="Times New Roman" w:eastAsia="仿宋" w:cs="Times New Roman"/>
          <w:b/>
          <w:sz w:val="28"/>
          <w:szCs w:val="28"/>
        </w:rPr>
        <w:t>涉华国际投资保护协定及国际争议案件法律解析系列之二十</w:t>
      </w:r>
      <w:r>
        <w:rPr>
          <w:rFonts w:hint="eastAsia" w:ascii="Times New Roman" w:hAnsi="Times New Roman" w:eastAsia="仿宋" w:cs="Times New Roman"/>
          <w:b/>
          <w:sz w:val="28"/>
          <w:szCs w:val="28"/>
        </w:rPr>
        <w:t>三</w:t>
      </w:r>
      <w:r>
        <w:rPr>
          <w:rFonts w:hint="default" w:ascii="Times New Roman" w:hAnsi="Times New Roman" w:eastAsia="仿宋" w:cs="Times New Roman"/>
          <w:b/>
          <w:sz w:val="28"/>
          <w:szCs w:val="28"/>
        </w:rPr>
        <w:t>：</w:t>
      </w:r>
    </w:p>
    <w:p>
      <w:pPr>
        <w:pageBreakBefore w:val="0"/>
        <w:kinsoku/>
        <w:wordWrap/>
        <w:overflowPunct/>
        <w:topLinePunct w:val="0"/>
        <w:autoSpaceDE/>
        <w:autoSpaceDN/>
        <w:bidi w:val="0"/>
        <w:adjustRightInd/>
        <w:snapToGrid/>
        <w:spacing w:before="0" w:beforeLines="-2147483648" w:after="0" w:afterLines="-2147483648" w:line="420" w:lineRule="atLeast"/>
        <w:ind w:firstLine="0" w:firstLineChars="0"/>
        <w:jc w:val="center"/>
        <w:textAlignment w:val="auto"/>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中国与阿塞拜疆的双边投资保护协定</w:t>
      </w:r>
    </w:p>
    <w:p>
      <w:pPr>
        <w:pageBreakBefore w:val="0"/>
        <w:kinsoku/>
        <w:wordWrap/>
        <w:overflowPunct/>
        <w:topLinePunct w:val="0"/>
        <w:autoSpaceDE/>
        <w:autoSpaceDN/>
        <w:bidi w:val="0"/>
        <w:adjustRightInd/>
        <w:snapToGrid/>
        <w:spacing w:before="0" w:beforeLines="-2147483648" w:after="0" w:afterLines="-2147483648" w:line="420" w:lineRule="atLeast"/>
        <w:ind w:firstLine="0" w:firstLineChars="0"/>
        <w:jc w:val="center"/>
        <w:textAlignment w:val="auto"/>
        <w:rPr>
          <w:rFonts w:ascii="Times New Roman" w:hAnsi="Times New Roman" w:eastAsia="仿宋" w:cs="Times New Roman"/>
          <w:b/>
          <w:sz w:val="28"/>
          <w:szCs w:val="28"/>
        </w:rPr>
      </w:pPr>
      <w:r>
        <w:rPr>
          <w:rFonts w:hint="eastAsia" w:ascii="Times New Roman" w:hAnsi="Times New Roman" w:eastAsia="仿宋" w:cs="Times New Roman"/>
          <w:b/>
          <w:sz w:val="28"/>
          <w:szCs w:val="28"/>
        </w:rPr>
        <w:t>及其在ICSID的</w:t>
      </w:r>
      <w:r>
        <w:rPr>
          <w:rFonts w:hint="default" w:ascii="Times New Roman" w:hAnsi="Times New Roman" w:eastAsia="仿宋" w:cs="Times New Roman"/>
          <w:b/>
          <w:sz w:val="28"/>
          <w:szCs w:val="28"/>
        </w:rPr>
        <w:t>国际投资仲裁案件</w:t>
      </w:r>
      <w:bookmarkEnd w:id="29"/>
    </w:p>
    <w:p>
      <w:pPr>
        <w:spacing w:line="420" w:lineRule="atLeast"/>
        <w:jc w:val="center"/>
        <w:rPr>
          <w:rFonts w:ascii="Times New Roman" w:hAnsi="Times New Roman" w:eastAsia="仿宋" w:cs="Times New Roman"/>
          <w:b/>
          <w:sz w:val="30"/>
          <w:szCs w:val="30"/>
        </w:rPr>
      </w:pPr>
    </w:p>
    <w:p>
      <w:pPr>
        <w:spacing w:line="420" w:lineRule="atLeast"/>
        <w:jc w:val="center"/>
        <w:rPr>
          <w:rFonts w:ascii="Times New Roman" w:hAnsi="Times New Roman" w:eastAsia="仿宋" w:cs="Times New Roman"/>
          <w:b/>
          <w:sz w:val="30"/>
          <w:szCs w:val="30"/>
        </w:rPr>
      </w:pPr>
    </w:p>
    <w:p>
      <w:pPr>
        <w:spacing w:line="360" w:lineRule="auto"/>
        <w:rPr>
          <w:rFonts w:ascii="Times New Roman" w:hAnsi="Times New Roman" w:eastAsia="仿宋" w:cs="Times New Roman"/>
          <w:b/>
          <w:sz w:val="24"/>
          <w:szCs w:val="24"/>
        </w:rPr>
      </w:pPr>
      <w:r>
        <w:rPr>
          <w:rFonts w:ascii="Times New Roman" w:hAnsi="Times New Roman" w:eastAsia="仿宋" w:cs="Times New Roman"/>
          <w:b/>
          <w:sz w:val="24"/>
          <w:szCs w:val="24"/>
        </w:rPr>
        <w:t>作者简介：</w:t>
      </w: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陈军</w:t>
      </w:r>
      <w:r>
        <w:rPr>
          <w:rFonts w:ascii="Times New Roman" w:hAnsi="Times New Roman" w:eastAsia="仿宋" w:cs="Times New Roman"/>
          <w:sz w:val="24"/>
          <w:szCs w:val="24"/>
        </w:rPr>
        <w:t xml:space="preserve">  上海市建纬律师事务所国际业务部主任、高级合伙人，国际公法、国际商法双法学硕士</w:t>
      </w:r>
      <w:r>
        <w:rPr>
          <w:rFonts w:hint="eastAsia" w:ascii="Times New Roman" w:hAnsi="Times New Roman" w:eastAsia="仿宋" w:cs="Times New Roman"/>
          <w:sz w:val="24"/>
          <w:szCs w:val="24"/>
        </w:rPr>
        <w:t>，英国皇家建造师协会会员、英国皇家特许测量师学会会员。</w:t>
      </w:r>
      <w:r>
        <w:rPr>
          <w:rFonts w:ascii="Times New Roman" w:hAnsi="Times New Roman" w:eastAsia="仿宋" w:cs="Times New Roman"/>
          <w:sz w:val="24"/>
          <w:szCs w:val="24"/>
        </w:rPr>
        <w:t>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w:t>
      </w:r>
      <w:r>
        <w:rPr>
          <w:rFonts w:ascii="Times New Roman" w:hAnsi="Times New Roman" w:eastAsia="仿宋" w:cs="Times New Roman"/>
          <w:sz w:val="24"/>
          <w:szCs w:val="24"/>
          <w:highlight w:val="none"/>
        </w:rPr>
        <w:t>超过30多</w:t>
      </w:r>
      <w:r>
        <w:rPr>
          <w:rFonts w:ascii="Times New Roman" w:hAnsi="Times New Roman" w:eastAsia="仿宋" w:cs="Times New Roman"/>
          <w:sz w:val="24"/>
          <w:szCs w:val="24"/>
        </w:rPr>
        <w:t>个国家和地区。陈军律师担任“一带一路”（中国）仲裁院</w:t>
      </w:r>
      <w:r>
        <w:rPr>
          <w:rFonts w:hint="eastAsia" w:ascii="Times New Roman" w:hAnsi="Times New Roman" w:eastAsia="仿宋" w:cs="Times New Roman"/>
          <w:sz w:val="24"/>
          <w:szCs w:val="24"/>
        </w:rPr>
        <w:t>和</w:t>
      </w:r>
      <w:r>
        <w:rPr>
          <w:rFonts w:ascii="Times New Roman" w:hAnsi="Times New Roman" w:eastAsia="仿宋" w:cs="Times New Roman"/>
          <w:sz w:val="24"/>
          <w:szCs w:val="24"/>
        </w:rPr>
        <w:t>赣江新区国际仲裁院</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仲裁员，并作为中国区测评专家，连续多年参与世界银行营商环境测评。2018年，入选司法部全国千名涉外律师人才推荐名单。</w:t>
      </w:r>
    </w:p>
    <w:p>
      <w:pPr>
        <w:spacing w:line="360" w:lineRule="auto"/>
        <w:rPr>
          <w:rFonts w:ascii="Times New Roman" w:hAnsi="Times New Roman" w:eastAsia="仿宋" w:cs="Times New Roman"/>
          <w:sz w:val="24"/>
          <w:szCs w:val="24"/>
        </w:rPr>
      </w:pP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汪景涛</w:t>
      </w:r>
      <w:r>
        <w:rPr>
          <w:rFonts w:ascii="Times New Roman" w:hAnsi="Times New Roman" w:eastAsia="仿宋" w:cs="Times New Roman"/>
          <w:sz w:val="24"/>
          <w:szCs w:val="24"/>
        </w:rPr>
        <w:t xml:space="preserve">  上海建纬律师事务所律师助理，华东政法大学国际法学硕士。业务领域包括外商投资、房地产、公司业务等。</w:t>
      </w:r>
    </w:p>
    <w:p>
      <w:pPr>
        <w:spacing w:line="360" w:lineRule="auto"/>
        <w:ind w:firstLine="480" w:firstLineChars="200"/>
        <w:rPr>
          <w:rFonts w:ascii="Times New Roman" w:hAnsi="Times New Roman" w:eastAsia="仿宋" w:cs="Times New Roman"/>
          <w:sz w:val="24"/>
          <w:szCs w:val="24"/>
        </w:rPr>
      </w:pPr>
    </w:p>
    <w:p>
      <w:pPr>
        <w:spacing w:line="360" w:lineRule="auto"/>
        <w:ind w:firstLine="562" w:firstLineChars="200"/>
        <w:jc w:val="left"/>
        <w:rPr>
          <w:rFonts w:ascii="Times New Roman" w:hAnsi="Times New Roman" w:eastAsia="仿宋" w:cs="Times New Roman"/>
          <w:b/>
          <w:sz w:val="28"/>
          <w:szCs w:val="28"/>
        </w:rPr>
      </w:pPr>
      <w:r>
        <w:rPr>
          <w:rFonts w:ascii="Times New Roman" w:hAnsi="Times New Roman" w:eastAsia="仿宋" w:cs="Times New Roman"/>
          <w:b/>
          <w:sz w:val="28"/>
          <w:szCs w:val="28"/>
        </w:rPr>
        <w:t>前言</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阿塞拜疆共和国</w:t>
      </w:r>
      <w:r>
        <w:rPr>
          <w:rFonts w:ascii="Times New Roman" w:hAnsi="Times New Roman" w:eastAsia="仿宋" w:cs="Times New Roman"/>
          <w:sz w:val="24"/>
          <w:szCs w:val="24"/>
        </w:rPr>
        <w:t>（</w:t>
      </w:r>
      <w:r>
        <w:rPr>
          <w:rFonts w:ascii="Times New Roman" w:hAnsi="Times New Roman" w:eastAsia="仿宋" w:cs="Times New Roman"/>
          <w:bCs/>
          <w:sz w:val="24"/>
          <w:szCs w:val="24"/>
        </w:rPr>
        <w:t>The Republic of Azerbaijan，以下简称“</w:t>
      </w:r>
      <w:r>
        <w:rPr>
          <w:rFonts w:ascii="Times New Roman" w:hAnsi="Times New Roman" w:eastAsia="仿宋" w:cs="Times New Roman"/>
          <w:b/>
          <w:sz w:val="24"/>
          <w:szCs w:val="24"/>
        </w:rPr>
        <w:t>阿塞拜疆</w:t>
      </w:r>
      <w:r>
        <w:rPr>
          <w:rFonts w:ascii="Times New Roman" w:hAnsi="Times New Roman" w:eastAsia="仿宋" w:cs="Times New Roman"/>
          <w:bCs/>
          <w:sz w:val="24"/>
          <w:szCs w:val="24"/>
        </w:rPr>
        <w:t>”</w:t>
      </w:r>
      <w:r>
        <w:rPr>
          <w:rFonts w:ascii="Times New Roman" w:hAnsi="Times New Roman" w:eastAsia="仿宋" w:cs="Times New Roman"/>
          <w:sz w:val="24"/>
          <w:szCs w:val="24"/>
        </w:rPr>
        <w:t>），</w:t>
      </w:r>
      <w:r>
        <w:rPr>
          <w:rFonts w:hint="eastAsia" w:ascii="Times New Roman" w:hAnsi="Times New Roman" w:eastAsia="仿宋" w:cs="Times New Roman"/>
          <w:sz w:val="24"/>
          <w:szCs w:val="24"/>
        </w:rPr>
        <w:t>位于欧亚大陆交界处的南高加索地区东部</w:t>
      </w:r>
      <w:r>
        <w:rPr>
          <w:rFonts w:ascii="Times New Roman" w:hAnsi="Times New Roman" w:eastAsia="仿宋" w:cs="Times New Roman"/>
          <w:sz w:val="24"/>
          <w:szCs w:val="24"/>
        </w:rPr>
        <w:t>，是古丝绸之路沿线重要国家</w:t>
      </w:r>
      <w:r>
        <w:rPr>
          <w:rFonts w:hint="eastAsia" w:ascii="Times New Roman" w:hAnsi="Times New Roman" w:eastAsia="仿宋" w:cs="Times New Roman"/>
          <w:sz w:val="24"/>
          <w:szCs w:val="24"/>
        </w:rPr>
        <w:t>；阿塞拜疆</w:t>
      </w:r>
      <w:r>
        <w:rPr>
          <w:rFonts w:ascii="Times New Roman" w:hAnsi="Times New Roman" w:eastAsia="仿宋" w:cs="Times New Roman"/>
          <w:sz w:val="24"/>
          <w:szCs w:val="24"/>
        </w:rPr>
        <w:t>国土面积</w:t>
      </w:r>
      <w:r>
        <w:rPr>
          <w:rFonts w:hint="eastAsia" w:ascii="Times New Roman" w:hAnsi="Times New Roman" w:eastAsia="仿宋" w:cs="Times New Roman"/>
          <w:sz w:val="24"/>
          <w:szCs w:val="24"/>
        </w:rPr>
        <w:t>约为</w:t>
      </w:r>
      <w:r>
        <w:rPr>
          <w:rFonts w:ascii="Times New Roman" w:hAnsi="Times New Roman" w:eastAsia="仿宋" w:cs="Times New Roman"/>
          <w:sz w:val="24"/>
          <w:szCs w:val="24"/>
        </w:rPr>
        <w:t>8.66万平方公里</w:t>
      </w:r>
      <w:r>
        <w:rPr>
          <w:rFonts w:hint="eastAsia" w:ascii="Times New Roman" w:hAnsi="Times New Roman" w:eastAsia="仿宋" w:cs="Times New Roman"/>
          <w:sz w:val="24"/>
          <w:szCs w:val="24"/>
        </w:rPr>
        <w:t>；</w:t>
      </w:r>
      <w:r>
        <w:rPr>
          <w:rFonts w:ascii="Times New Roman" w:hAnsi="Times New Roman" w:eastAsia="仿宋" w:cs="Times New Roman"/>
          <w:sz w:val="24"/>
          <w:szCs w:val="24"/>
        </w:rPr>
        <w:t>首都巴库市是阿塞拜疆第一大城市和经济中心</w:t>
      </w:r>
      <w:r>
        <w:rPr>
          <w:rFonts w:hint="eastAsia" w:ascii="Times New Roman" w:hAnsi="Times New Roman" w:eastAsia="仿宋" w:cs="Times New Roman"/>
          <w:sz w:val="24"/>
          <w:szCs w:val="24"/>
        </w:rPr>
        <w:t>；</w:t>
      </w:r>
      <w:r>
        <w:rPr>
          <w:rFonts w:ascii="Times New Roman" w:hAnsi="Times New Roman" w:eastAsia="仿宋" w:cs="Times New Roman"/>
          <w:sz w:val="24"/>
          <w:szCs w:val="24"/>
        </w:rPr>
        <w:t>阿塞拜疆石油</w:t>
      </w:r>
      <w:r>
        <w:rPr>
          <w:rFonts w:hint="eastAsia" w:ascii="Times New Roman" w:hAnsi="Times New Roman" w:eastAsia="仿宋" w:cs="Times New Roman"/>
          <w:sz w:val="24"/>
          <w:szCs w:val="24"/>
        </w:rPr>
        <w:t>、</w:t>
      </w:r>
      <w:r>
        <w:rPr>
          <w:rFonts w:ascii="Times New Roman" w:hAnsi="Times New Roman" w:eastAsia="仿宋" w:cs="Times New Roman"/>
          <w:sz w:val="24"/>
          <w:szCs w:val="24"/>
        </w:rPr>
        <w:t>天然气资源</w:t>
      </w:r>
      <w:r>
        <w:rPr>
          <w:rFonts w:hint="eastAsia" w:ascii="Times New Roman" w:hAnsi="Times New Roman" w:eastAsia="仿宋" w:cs="Times New Roman"/>
          <w:sz w:val="24"/>
          <w:szCs w:val="24"/>
        </w:rPr>
        <w:t>、矿产资源</w:t>
      </w:r>
      <w:r>
        <w:rPr>
          <w:rFonts w:ascii="Times New Roman" w:hAnsi="Times New Roman" w:eastAsia="仿宋" w:cs="Times New Roman"/>
          <w:sz w:val="24"/>
          <w:szCs w:val="24"/>
        </w:rPr>
        <w:t>极为丰富；截至2019年4月6日，阿塞拜疆全国总人口</w:t>
      </w:r>
      <w:r>
        <w:rPr>
          <w:rFonts w:hint="eastAsia" w:ascii="Times New Roman" w:hAnsi="Times New Roman" w:eastAsia="仿宋" w:cs="Times New Roman"/>
          <w:sz w:val="24"/>
          <w:szCs w:val="24"/>
        </w:rPr>
        <w:t>约</w:t>
      </w:r>
      <w:r>
        <w:rPr>
          <w:rFonts w:ascii="Times New Roman" w:hAnsi="Times New Roman" w:eastAsia="仿宋" w:cs="Times New Roman"/>
          <w:sz w:val="24"/>
          <w:szCs w:val="24"/>
        </w:rPr>
        <w:t>1000万</w:t>
      </w:r>
      <w:r>
        <w:rPr>
          <w:rFonts w:hint="eastAsia" w:ascii="Times New Roman" w:hAnsi="Times New Roman" w:eastAsia="仿宋" w:cs="Times New Roman"/>
          <w:sz w:val="24"/>
          <w:szCs w:val="24"/>
        </w:rPr>
        <w:t>。</w:t>
      </w:r>
    </w:p>
    <w:p>
      <w:pPr>
        <w:tabs>
          <w:tab w:val="left" w:pos="7371"/>
        </w:tabs>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根据世界银行统计，2018年阿塞拜疆的国内生产总值（GDP）约为</w:t>
      </w:r>
      <w:r>
        <w:rPr>
          <w:rFonts w:hint="eastAsia" w:ascii="Times New Roman" w:hAnsi="Times New Roman" w:eastAsia="仿宋" w:cs="Times New Roman"/>
          <w:sz w:val="24"/>
          <w:szCs w:val="24"/>
        </w:rPr>
        <w:t>469.4</w:t>
      </w:r>
      <w:r>
        <w:rPr>
          <w:rFonts w:ascii="Times New Roman" w:hAnsi="Times New Roman" w:eastAsia="仿宋" w:cs="Times New Roman"/>
          <w:sz w:val="24"/>
          <w:szCs w:val="24"/>
        </w:rPr>
        <w:t>亿美元，</w:t>
      </w:r>
      <w:r>
        <w:rPr>
          <w:rFonts w:hint="eastAsia" w:ascii="Times New Roman" w:hAnsi="Times New Roman" w:eastAsia="仿宋" w:cs="Times New Roman"/>
          <w:sz w:val="24"/>
          <w:szCs w:val="24"/>
        </w:rPr>
        <w:t>较</w:t>
      </w:r>
      <w:r>
        <w:rPr>
          <w:rFonts w:ascii="Times New Roman" w:hAnsi="Times New Roman" w:eastAsia="仿宋" w:cs="Times New Roman"/>
          <w:sz w:val="24"/>
          <w:szCs w:val="24"/>
        </w:rPr>
        <w:t>201</w:t>
      </w:r>
      <w:r>
        <w:rPr>
          <w:rFonts w:hint="eastAsia" w:ascii="Times New Roman" w:hAnsi="Times New Roman" w:eastAsia="仿宋" w:cs="Times New Roman"/>
          <w:sz w:val="24"/>
          <w:szCs w:val="24"/>
        </w:rPr>
        <w:t>7</w:t>
      </w:r>
      <w:r>
        <w:rPr>
          <w:rFonts w:ascii="Times New Roman" w:hAnsi="Times New Roman" w:eastAsia="仿宋" w:cs="Times New Roman"/>
          <w:sz w:val="24"/>
          <w:szCs w:val="24"/>
        </w:rPr>
        <w:t>年年增长率为</w:t>
      </w:r>
      <w:r>
        <w:rPr>
          <w:rFonts w:hint="eastAsia" w:ascii="Times New Roman" w:hAnsi="Times New Roman" w:eastAsia="仿宋" w:cs="Times New Roman"/>
          <w:sz w:val="24"/>
          <w:szCs w:val="24"/>
        </w:rPr>
        <w:t>1</w:t>
      </w:r>
      <w:r>
        <w:rPr>
          <w:rFonts w:ascii="Times New Roman" w:hAnsi="Times New Roman" w:eastAsia="仿宋" w:cs="Times New Roman"/>
          <w:sz w:val="24"/>
          <w:szCs w:val="24"/>
        </w:rPr>
        <w:t>.</w:t>
      </w:r>
      <w:r>
        <w:rPr>
          <w:rFonts w:hint="eastAsia" w:ascii="Times New Roman" w:hAnsi="Times New Roman" w:eastAsia="仿宋" w:cs="Times New Roman"/>
          <w:sz w:val="24"/>
          <w:szCs w:val="24"/>
        </w:rPr>
        <w:t>4</w:t>
      </w:r>
      <w:r>
        <w:rPr>
          <w:rFonts w:ascii="Times New Roman" w:hAnsi="Times New Roman" w:eastAsia="仿宋" w:cs="Times New Roman"/>
          <w:sz w:val="24"/>
          <w:szCs w:val="24"/>
        </w:rPr>
        <w:t>%</w:t>
      </w:r>
      <w:r>
        <w:rPr>
          <w:rFonts w:hint="eastAsia" w:ascii="Times New Roman" w:hAnsi="Times New Roman" w:eastAsia="仿宋" w:cs="Times New Roman"/>
          <w:sz w:val="24"/>
          <w:szCs w:val="24"/>
        </w:rPr>
        <w:t>，人均GDP为</w:t>
      </w:r>
      <w:r>
        <w:rPr>
          <w:rFonts w:ascii="Times New Roman" w:hAnsi="Times New Roman" w:eastAsia="仿宋" w:cs="Times New Roman"/>
          <w:sz w:val="24"/>
          <w:szCs w:val="24"/>
        </w:rPr>
        <w:t>4721美元</w:t>
      </w:r>
      <w:r>
        <w:rPr>
          <w:rStyle w:val="18"/>
          <w:rFonts w:ascii="Times New Roman" w:hAnsi="Times New Roman" w:eastAsia="仿宋" w:cs="Times New Roman"/>
          <w:sz w:val="24"/>
          <w:szCs w:val="24"/>
        </w:rPr>
        <w:footnoteReference w:id="0"/>
      </w:r>
      <w:r>
        <w:rPr>
          <w:rFonts w:ascii="Times New Roman" w:hAnsi="Times New Roman" w:eastAsia="仿宋" w:cs="Times New Roman"/>
          <w:sz w:val="24"/>
          <w:szCs w:val="24"/>
        </w:rPr>
        <w:t>。据中国商务部统计，201</w:t>
      </w:r>
      <w:r>
        <w:rPr>
          <w:rFonts w:hint="eastAsia" w:ascii="Times New Roman" w:hAnsi="Times New Roman" w:eastAsia="仿宋" w:cs="Times New Roman"/>
          <w:sz w:val="24"/>
          <w:szCs w:val="24"/>
        </w:rPr>
        <w:t>8</w:t>
      </w:r>
      <w:r>
        <w:rPr>
          <w:rFonts w:ascii="Times New Roman" w:hAnsi="Times New Roman" w:eastAsia="仿宋" w:cs="Times New Roman"/>
          <w:sz w:val="24"/>
          <w:szCs w:val="24"/>
        </w:rPr>
        <w:t>年当年中国对阿塞拜疆直接投资流量</w:t>
      </w:r>
      <w:r>
        <w:rPr>
          <w:rFonts w:hint="eastAsia" w:ascii="Times New Roman" w:hAnsi="Times New Roman" w:eastAsia="仿宋" w:cs="Times New Roman"/>
          <w:sz w:val="24"/>
          <w:szCs w:val="24"/>
        </w:rPr>
        <w:t>为</w:t>
      </w:r>
      <w:r>
        <w:rPr>
          <w:rFonts w:ascii="Times New Roman" w:hAnsi="Times New Roman" w:eastAsia="仿宋" w:cs="Times New Roman"/>
          <w:sz w:val="24"/>
          <w:szCs w:val="24"/>
        </w:rPr>
        <w:t>-</w:t>
      </w:r>
      <w:r>
        <w:rPr>
          <w:rFonts w:hint="eastAsia" w:ascii="Times New Roman" w:hAnsi="Times New Roman" w:eastAsia="仿宋" w:cs="Times New Roman"/>
          <w:sz w:val="24"/>
          <w:szCs w:val="24"/>
        </w:rPr>
        <w:t>105</w:t>
      </w:r>
      <w:r>
        <w:rPr>
          <w:rFonts w:ascii="Times New Roman" w:hAnsi="Times New Roman" w:eastAsia="仿宋" w:cs="Times New Roman"/>
          <w:sz w:val="24"/>
          <w:szCs w:val="24"/>
        </w:rPr>
        <w:t>万美元</w:t>
      </w:r>
      <w:r>
        <w:rPr>
          <w:rFonts w:hint="eastAsia" w:ascii="Times New Roman" w:hAnsi="Times New Roman" w:eastAsia="仿宋" w:cs="Times New Roman"/>
          <w:sz w:val="24"/>
          <w:szCs w:val="24"/>
        </w:rPr>
        <w:t>；</w:t>
      </w:r>
      <w:r>
        <w:rPr>
          <w:rFonts w:ascii="Times New Roman" w:hAnsi="Times New Roman" w:eastAsia="仿宋" w:cs="Times New Roman"/>
          <w:sz w:val="24"/>
          <w:szCs w:val="24"/>
        </w:rPr>
        <w:t>截至201</w:t>
      </w:r>
      <w:r>
        <w:rPr>
          <w:rFonts w:hint="eastAsia" w:ascii="Times New Roman" w:hAnsi="Times New Roman" w:eastAsia="仿宋" w:cs="Times New Roman"/>
          <w:sz w:val="24"/>
          <w:szCs w:val="24"/>
        </w:rPr>
        <w:t>8</w:t>
      </w:r>
      <w:r>
        <w:rPr>
          <w:rFonts w:ascii="Times New Roman" w:hAnsi="Times New Roman" w:eastAsia="仿宋" w:cs="Times New Roman"/>
          <w:sz w:val="24"/>
          <w:szCs w:val="24"/>
        </w:rPr>
        <w:t>年末，中国对阿塞拜疆直接投资存量</w:t>
      </w:r>
      <w:r>
        <w:rPr>
          <w:rFonts w:hint="eastAsia" w:ascii="Times New Roman" w:hAnsi="Times New Roman" w:eastAsia="仿宋" w:cs="Times New Roman"/>
          <w:sz w:val="24"/>
          <w:szCs w:val="24"/>
        </w:rPr>
        <w:t>为918万</w:t>
      </w:r>
      <w:r>
        <w:rPr>
          <w:rFonts w:ascii="Times New Roman" w:hAnsi="Times New Roman" w:eastAsia="仿宋" w:cs="Times New Roman"/>
          <w:sz w:val="24"/>
          <w:szCs w:val="24"/>
        </w:rPr>
        <w:t>美元。中国对阿塞拜疆投资主要集中在石油领域，中石油通过其海外公司与阿塞拜疆国家石油公司合作投资阿塞拜疆陆上油田，投资总额6亿多美元</w:t>
      </w:r>
      <w:r>
        <w:rPr>
          <w:rStyle w:val="18"/>
          <w:rFonts w:ascii="Times New Roman" w:hAnsi="Times New Roman" w:eastAsia="仿宋" w:cs="Times New Roman"/>
          <w:sz w:val="24"/>
          <w:szCs w:val="24"/>
        </w:rPr>
        <w:footnoteReference w:id="1"/>
      </w:r>
      <w:r>
        <w:rPr>
          <w:rFonts w:ascii="Times New Roman" w:hAnsi="Times New Roman" w:eastAsia="仿宋" w:cs="Times New Roman"/>
          <w:sz w:val="24"/>
          <w:szCs w:val="24"/>
        </w:rPr>
        <w:t>。</w:t>
      </w:r>
    </w:p>
    <w:p>
      <w:pPr>
        <w:tabs>
          <w:tab w:val="left" w:pos="7371"/>
        </w:tabs>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世界经济论坛《201</w:t>
      </w:r>
      <w:r>
        <w:rPr>
          <w:rFonts w:hint="eastAsia" w:ascii="Times New Roman" w:hAnsi="Times New Roman" w:eastAsia="仿宋" w:cs="Times New Roman"/>
          <w:sz w:val="24"/>
          <w:szCs w:val="24"/>
        </w:rPr>
        <w:t>9</w:t>
      </w:r>
      <w:r>
        <w:rPr>
          <w:rFonts w:ascii="Times New Roman" w:hAnsi="Times New Roman" w:eastAsia="仿宋" w:cs="Times New Roman"/>
          <w:sz w:val="24"/>
          <w:szCs w:val="24"/>
        </w:rPr>
        <w:t>年度全球竞争力报告》显示，阿塞拜疆在全球最具竞争力的14</w:t>
      </w:r>
      <w:r>
        <w:rPr>
          <w:rFonts w:hint="eastAsia" w:ascii="Times New Roman" w:hAnsi="Times New Roman" w:eastAsia="仿宋" w:cs="Times New Roman"/>
          <w:sz w:val="24"/>
          <w:szCs w:val="24"/>
        </w:rPr>
        <w:t>1</w:t>
      </w:r>
      <w:r>
        <w:rPr>
          <w:rFonts w:ascii="Times New Roman" w:hAnsi="Times New Roman" w:eastAsia="仿宋" w:cs="Times New Roman"/>
          <w:sz w:val="24"/>
          <w:szCs w:val="24"/>
        </w:rPr>
        <w:t>个国家和地区中，排名第</w:t>
      </w:r>
      <w:r>
        <w:rPr>
          <w:rFonts w:hint="eastAsia" w:ascii="Times New Roman" w:hAnsi="Times New Roman" w:eastAsia="仿宋" w:cs="Times New Roman"/>
          <w:sz w:val="24"/>
          <w:szCs w:val="24"/>
        </w:rPr>
        <w:t>58</w:t>
      </w:r>
      <w:r>
        <w:rPr>
          <w:rFonts w:ascii="Times New Roman" w:hAnsi="Times New Roman" w:eastAsia="仿宋" w:cs="Times New Roman"/>
          <w:sz w:val="24"/>
          <w:szCs w:val="24"/>
        </w:rPr>
        <w:t>位</w:t>
      </w:r>
      <w:r>
        <w:rPr>
          <w:rStyle w:val="18"/>
          <w:rFonts w:ascii="Times New Roman" w:hAnsi="Times New Roman" w:eastAsia="仿宋" w:cs="Times New Roman"/>
          <w:sz w:val="24"/>
          <w:szCs w:val="24"/>
        </w:rPr>
        <w:footnoteReference w:id="2"/>
      </w:r>
      <w:r>
        <w:rPr>
          <w:rFonts w:ascii="Times New Roman" w:hAnsi="Times New Roman" w:eastAsia="仿宋" w:cs="Times New Roman"/>
          <w:sz w:val="24"/>
          <w:szCs w:val="24"/>
        </w:rPr>
        <w:t>。世界银行《20</w:t>
      </w:r>
      <w:r>
        <w:rPr>
          <w:rFonts w:hint="eastAsia" w:ascii="Times New Roman" w:hAnsi="Times New Roman" w:eastAsia="仿宋" w:cs="Times New Roman"/>
          <w:sz w:val="24"/>
          <w:szCs w:val="24"/>
        </w:rPr>
        <w:t>20</w:t>
      </w:r>
      <w:r>
        <w:rPr>
          <w:rFonts w:ascii="Times New Roman" w:hAnsi="Times New Roman" w:eastAsia="仿宋" w:cs="Times New Roman"/>
          <w:sz w:val="24"/>
          <w:szCs w:val="24"/>
        </w:rPr>
        <w:t>年营商环境报告》显示，在统计的190个经济体中，阿塞拜疆的营商环境便利度排名第</w:t>
      </w:r>
      <w:r>
        <w:rPr>
          <w:rFonts w:hint="eastAsia" w:ascii="Times New Roman" w:hAnsi="Times New Roman" w:eastAsia="仿宋" w:cs="Times New Roman"/>
          <w:sz w:val="24"/>
          <w:szCs w:val="24"/>
        </w:rPr>
        <w:t>34</w:t>
      </w:r>
      <w:r>
        <w:rPr>
          <w:rFonts w:ascii="Times New Roman" w:hAnsi="Times New Roman" w:eastAsia="仿宋" w:cs="Times New Roman"/>
          <w:sz w:val="24"/>
          <w:szCs w:val="24"/>
        </w:rPr>
        <w:t>位，</w:t>
      </w:r>
      <w:r>
        <w:rPr>
          <w:rFonts w:hint="eastAsia" w:ascii="Times New Roman" w:hAnsi="Times New Roman" w:eastAsia="仿宋" w:cs="Times New Roman"/>
          <w:sz w:val="24"/>
          <w:szCs w:val="24"/>
        </w:rPr>
        <w:t>分数</w:t>
      </w:r>
      <w:r>
        <w:rPr>
          <w:rFonts w:ascii="Times New Roman" w:hAnsi="Times New Roman" w:eastAsia="仿宋" w:cs="Times New Roman"/>
          <w:sz w:val="24"/>
          <w:szCs w:val="24"/>
        </w:rPr>
        <w:t>为</w:t>
      </w:r>
      <w:r>
        <w:rPr>
          <w:rFonts w:hint="eastAsia" w:ascii="Times New Roman" w:hAnsi="Times New Roman" w:eastAsia="仿宋" w:cs="Times New Roman"/>
          <w:sz w:val="24"/>
          <w:szCs w:val="24"/>
        </w:rPr>
        <w:t>76.7</w:t>
      </w:r>
      <w:r>
        <w:rPr>
          <w:rStyle w:val="18"/>
          <w:rFonts w:ascii="Times New Roman" w:hAnsi="Times New Roman" w:eastAsia="仿宋" w:cs="Times New Roman"/>
          <w:sz w:val="24"/>
          <w:szCs w:val="24"/>
        </w:rPr>
        <w:footnoteReference w:id="3"/>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2000</w:t>
      </w:r>
      <w:r>
        <w:rPr>
          <w:rFonts w:ascii="Times New Roman" w:hAnsi="Times New Roman" w:eastAsia="仿宋" w:cs="Times New Roman"/>
          <w:sz w:val="24"/>
          <w:szCs w:val="24"/>
        </w:rPr>
        <w:t>年</w:t>
      </w:r>
      <w:r>
        <w:rPr>
          <w:rFonts w:hint="eastAsia" w:ascii="Times New Roman" w:hAnsi="Times New Roman" w:eastAsia="仿宋" w:cs="Times New Roman"/>
          <w:sz w:val="24"/>
          <w:szCs w:val="24"/>
        </w:rPr>
        <w:t>2</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29</w:t>
      </w:r>
      <w:r>
        <w:rPr>
          <w:rFonts w:ascii="Times New Roman" w:hAnsi="Times New Roman" w:eastAsia="仿宋" w:cs="Times New Roman"/>
          <w:sz w:val="24"/>
          <w:szCs w:val="24"/>
        </w:rPr>
        <w:t>日，阿塞拜疆加入《承认及执行外国仲裁裁决公约》（以下简称“</w:t>
      </w:r>
      <w:r>
        <w:rPr>
          <w:rFonts w:ascii="Times New Roman" w:hAnsi="Times New Roman" w:eastAsia="仿宋" w:cs="Times New Roman"/>
          <w:b/>
          <w:sz w:val="24"/>
          <w:szCs w:val="24"/>
        </w:rPr>
        <w:t>《纽约公约》</w:t>
      </w:r>
      <w:r>
        <w:rPr>
          <w:rFonts w:ascii="Times New Roman" w:hAnsi="Times New Roman" w:eastAsia="仿宋" w:cs="Times New Roman"/>
          <w:sz w:val="24"/>
          <w:szCs w:val="24"/>
        </w:rPr>
        <w:t>”），自</w:t>
      </w:r>
      <w:r>
        <w:rPr>
          <w:rFonts w:hint="eastAsia" w:ascii="Times New Roman" w:hAnsi="Times New Roman" w:eastAsia="仿宋" w:cs="Times New Roman"/>
          <w:sz w:val="24"/>
          <w:szCs w:val="24"/>
        </w:rPr>
        <w:t>2000</w:t>
      </w:r>
      <w:r>
        <w:rPr>
          <w:rFonts w:ascii="Times New Roman" w:hAnsi="Times New Roman" w:eastAsia="仿宋" w:cs="Times New Roman"/>
          <w:sz w:val="24"/>
          <w:szCs w:val="24"/>
        </w:rPr>
        <w:t>年</w:t>
      </w:r>
      <w:r>
        <w:rPr>
          <w:rFonts w:hint="eastAsia" w:ascii="Times New Roman" w:hAnsi="Times New Roman" w:eastAsia="仿宋" w:cs="Times New Roman"/>
          <w:sz w:val="24"/>
          <w:szCs w:val="24"/>
        </w:rPr>
        <w:t>5</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29</w:t>
      </w:r>
      <w:r>
        <w:rPr>
          <w:rFonts w:ascii="Times New Roman" w:hAnsi="Times New Roman" w:eastAsia="仿宋" w:cs="Times New Roman"/>
          <w:sz w:val="24"/>
          <w:szCs w:val="24"/>
        </w:rPr>
        <w:t>日起</w:t>
      </w:r>
      <w:r>
        <w:rPr>
          <w:rFonts w:hint="eastAsia" w:ascii="Times New Roman" w:hAnsi="Times New Roman" w:eastAsia="仿宋" w:cs="Times New Roman"/>
          <w:sz w:val="24"/>
          <w:szCs w:val="24"/>
        </w:rPr>
        <w:t>，</w:t>
      </w:r>
      <w:r>
        <w:rPr>
          <w:rFonts w:ascii="Times New Roman" w:hAnsi="Times New Roman" w:eastAsia="仿宋" w:cs="Times New Roman"/>
          <w:sz w:val="24"/>
          <w:szCs w:val="24"/>
        </w:rPr>
        <w:t>《纽约公约》对阿塞拜疆生效</w:t>
      </w:r>
      <w:r>
        <w:rPr>
          <w:rFonts w:hint="eastAsia" w:ascii="Times New Roman" w:hAnsi="Times New Roman" w:eastAsia="仿宋" w:cs="Times New Roman"/>
          <w:sz w:val="24"/>
          <w:szCs w:val="24"/>
        </w:rPr>
        <w:t>。</w:t>
      </w:r>
      <w:r>
        <w:rPr>
          <w:rFonts w:ascii="Times New Roman" w:hAnsi="Times New Roman" w:eastAsia="仿宋" w:cs="Times New Roman"/>
          <w:sz w:val="24"/>
          <w:szCs w:val="24"/>
        </w:rPr>
        <w:t>1992年9月18日，阿塞拜疆加入并批准了《解决国家与他国国民间投资争议公约》（以下简称“</w:t>
      </w:r>
      <w:r>
        <w:rPr>
          <w:rFonts w:hint="eastAsia" w:ascii="Times New Roman" w:hAnsi="Times New Roman" w:eastAsia="仿宋" w:cs="Times New Roman"/>
          <w:b/>
          <w:sz w:val="24"/>
          <w:szCs w:val="24"/>
        </w:rPr>
        <w:t>《</w:t>
      </w:r>
      <w:r>
        <w:rPr>
          <w:rFonts w:ascii="Times New Roman" w:hAnsi="Times New Roman" w:eastAsia="仿宋" w:cs="Times New Roman"/>
          <w:b/>
          <w:sz w:val="24"/>
          <w:szCs w:val="24"/>
        </w:rPr>
        <w:t>ICSID</w:t>
      </w:r>
      <w:r>
        <w:rPr>
          <w:rFonts w:hint="eastAsia" w:ascii="Times New Roman" w:hAnsi="Times New Roman" w:eastAsia="仿宋" w:cs="Times New Roman"/>
          <w:b/>
          <w:sz w:val="24"/>
          <w:szCs w:val="24"/>
        </w:rPr>
        <w:t>公约》</w:t>
      </w:r>
      <w:r>
        <w:rPr>
          <w:rFonts w:ascii="Times New Roman" w:hAnsi="Times New Roman" w:eastAsia="仿宋" w:cs="Times New Roman"/>
          <w:sz w:val="24"/>
          <w:szCs w:val="24"/>
        </w:rPr>
        <w:t>”）</w:t>
      </w:r>
      <w:r>
        <w:rPr>
          <w:rFonts w:hint="eastAsia" w:ascii="Times New Roman" w:hAnsi="Times New Roman" w:eastAsia="仿宋" w:cs="Times New Roman"/>
          <w:sz w:val="24"/>
          <w:szCs w:val="24"/>
        </w:rPr>
        <w:t>，自</w:t>
      </w:r>
      <w:r>
        <w:rPr>
          <w:rFonts w:ascii="Times New Roman" w:hAnsi="Times New Roman" w:eastAsia="仿宋" w:cs="Times New Roman"/>
          <w:sz w:val="24"/>
          <w:szCs w:val="24"/>
        </w:rPr>
        <w:t>1992</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10</w:t>
      </w:r>
      <w:r>
        <w:rPr>
          <w:rFonts w:hint="eastAsia" w:ascii="Times New Roman" w:hAnsi="Times New Roman" w:eastAsia="仿宋" w:cs="Times New Roman"/>
          <w:sz w:val="24"/>
          <w:szCs w:val="24"/>
        </w:rPr>
        <w:t>月</w:t>
      </w:r>
      <w:r>
        <w:rPr>
          <w:rFonts w:ascii="Times New Roman" w:hAnsi="Times New Roman" w:eastAsia="仿宋" w:cs="Times New Roman"/>
          <w:sz w:val="24"/>
          <w:szCs w:val="24"/>
        </w:rPr>
        <w:t>18</w:t>
      </w:r>
      <w:r>
        <w:rPr>
          <w:rFonts w:hint="eastAsia" w:ascii="Times New Roman" w:hAnsi="Times New Roman" w:eastAsia="仿宋" w:cs="Times New Roman"/>
          <w:sz w:val="24"/>
          <w:szCs w:val="24"/>
        </w:rPr>
        <w:t>日</w:t>
      </w:r>
      <w:r>
        <w:rPr>
          <w:rFonts w:ascii="Times New Roman" w:hAnsi="Times New Roman" w:eastAsia="仿宋" w:cs="Times New Roman"/>
          <w:sz w:val="24"/>
          <w:szCs w:val="24"/>
        </w:rPr>
        <w:t>起</w:t>
      </w:r>
      <w:r>
        <w:rPr>
          <w:rFonts w:hint="eastAsia" w:ascii="Times New Roman" w:hAnsi="Times New Roman" w:eastAsia="仿宋" w:cs="Times New Roman"/>
          <w:sz w:val="24"/>
          <w:szCs w:val="24"/>
        </w:rPr>
        <w:t>，</w:t>
      </w:r>
      <w:r>
        <w:rPr>
          <w:rFonts w:ascii="Times New Roman" w:hAnsi="Times New Roman" w:eastAsia="仿宋" w:cs="Times New Roman"/>
          <w:sz w:val="24"/>
          <w:szCs w:val="24"/>
        </w:rPr>
        <w:t>《ICSID公约》对阿塞拜疆生效。</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199</w:t>
      </w:r>
      <w:r>
        <w:rPr>
          <w:rFonts w:hint="eastAsia" w:ascii="Times New Roman" w:hAnsi="Times New Roman" w:eastAsia="仿宋" w:cs="Times New Roman"/>
          <w:sz w:val="24"/>
          <w:szCs w:val="24"/>
        </w:rPr>
        <w:t>4</w:t>
      </w:r>
      <w:r>
        <w:rPr>
          <w:rFonts w:ascii="Times New Roman" w:hAnsi="Times New Roman" w:eastAsia="仿宋" w:cs="Times New Roman"/>
          <w:sz w:val="24"/>
          <w:szCs w:val="24"/>
        </w:rPr>
        <w:t>年</w:t>
      </w:r>
      <w:r>
        <w:rPr>
          <w:rFonts w:hint="eastAsia" w:ascii="Times New Roman" w:hAnsi="Times New Roman" w:eastAsia="仿宋" w:cs="Times New Roman"/>
          <w:sz w:val="24"/>
          <w:szCs w:val="24"/>
        </w:rPr>
        <w:t>3</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8</w:t>
      </w:r>
      <w:r>
        <w:rPr>
          <w:rFonts w:ascii="Times New Roman" w:hAnsi="Times New Roman" w:eastAsia="仿宋" w:cs="Times New Roman"/>
          <w:sz w:val="24"/>
          <w:szCs w:val="24"/>
        </w:rPr>
        <w:t>日，中阿双方签订了《</w:t>
      </w:r>
      <w:r>
        <w:rPr>
          <w:rFonts w:ascii="Times New Roman" w:hAnsi="Times New Roman" w:eastAsia="仿宋" w:cs="Times New Roman"/>
          <w:bCs/>
          <w:sz w:val="24"/>
          <w:szCs w:val="24"/>
        </w:rPr>
        <w:t>中华人民共和国政府和阿塞拜疆共和国政府关于鼓励和相互保护投资的协定</w:t>
      </w:r>
      <w:r>
        <w:rPr>
          <w:rFonts w:ascii="Times New Roman" w:hAnsi="Times New Roman" w:eastAsia="仿宋" w:cs="Times New Roman"/>
          <w:sz w:val="24"/>
          <w:szCs w:val="24"/>
        </w:rPr>
        <w:t>》（以下简称“</w:t>
      </w:r>
      <w:r>
        <w:rPr>
          <w:rFonts w:ascii="Times New Roman" w:hAnsi="Times New Roman" w:eastAsia="仿宋" w:cs="Times New Roman"/>
          <w:b/>
          <w:sz w:val="24"/>
          <w:szCs w:val="24"/>
        </w:rPr>
        <w:t>中阿BIT</w:t>
      </w:r>
      <w:r>
        <w:rPr>
          <w:rFonts w:ascii="Times New Roman" w:hAnsi="Times New Roman" w:eastAsia="仿宋" w:cs="Times New Roman"/>
          <w:sz w:val="24"/>
          <w:szCs w:val="24"/>
        </w:rPr>
        <w:t>”），该协定自</w:t>
      </w:r>
      <w:r>
        <w:rPr>
          <w:rFonts w:hint="eastAsia" w:ascii="Times New Roman" w:hAnsi="Times New Roman" w:eastAsia="仿宋" w:cs="Times New Roman"/>
          <w:sz w:val="24"/>
          <w:szCs w:val="24"/>
        </w:rPr>
        <w:t>1994</w:t>
      </w:r>
      <w:r>
        <w:rPr>
          <w:rFonts w:ascii="Times New Roman" w:hAnsi="Times New Roman" w:eastAsia="仿宋" w:cs="Times New Roman"/>
          <w:sz w:val="24"/>
          <w:szCs w:val="24"/>
        </w:rPr>
        <w:t>年</w:t>
      </w:r>
      <w:r>
        <w:rPr>
          <w:rFonts w:hint="eastAsia" w:ascii="Times New Roman" w:hAnsi="Times New Roman" w:eastAsia="仿宋" w:cs="Times New Roman"/>
          <w:sz w:val="24"/>
          <w:szCs w:val="24"/>
        </w:rPr>
        <w:t>4</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1</w:t>
      </w:r>
      <w:r>
        <w:rPr>
          <w:rFonts w:ascii="Times New Roman" w:hAnsi="Times New Roman" w:eastAsia="仿宋" w:cs="Times New Roman"/>
          <w:sz w:val="24"/>
          <w:szCs w:val="24"/>
        </w:rPr>
        <w:t>日</w:t>
      </w:r>
      <w:r>
        <w:rPr>
          <w:rFonts w:hint="eastAsia" w:ascii="Times New Roman" w:hAnsi="Times New Roman" w:eastAsia="仿宋" w:cs="Times New Roman"/>
          <w:sz w:val="24"/>
          <w:szCs w:val="24"/>
        </w:rPr>
        <w:t>起</w:t>
      </w:r>
      <w:r>
        <w:rPr>
          <w:rFonts w:ascii="Times New Roman" w:hAnsi="Times New Roman" w:eastAsia="仿宋" w:cs="Times New Roman"/>
          <w:sz w:val="24"/>
          <w:szCs w:val="24"/>
        </w:rPr>
        <w:t>生效；</w:t>
      </w:r>
      <w:r>
        <w:rPr>
          <w:rFonts w:hint="eastAsia" w:ascii="Times New Roman" w:hAnsi="Times New Roman" w:eastAsia="仿宋" w:cs="Times New Roman"/>
          <w:sz w:val="24"/>
          <w:szCs w:val="24"/>
        </w:rPr>
        <w:t>2005</w:t>
      </w:r>
      <w:r>
        <w:rPr>
          <w:rFonts w:ascii="Times New Roman" w:hAnsi="Times New Roman" w:eastAsia="仿宋" w:cs="Times New Roman"/>
          <w:sz w:val="24"/>
          <w:szCs w:val="24"/>
        </w:rPr>
        <w:t>年</w:t>
      </w:r>
      <w:r>
        <w:rPr>
          <w:rFonts w:hint="eastAsia" w:ascii="Times New Roman" w:hAnsi="Times New Roman" w:eastAsia="仿宋" w:cs="Times New Roman"/>
          <w:sz w:val="24"/>
          <w:szCs w:val="24"/>
        </w:rPr>
        <w:t>3</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17</w:t>
      </w:r>
      <w:r>
        <w:rPr>
          <w:rFonts w:ascii="Times New Roman" w:hAnsi="Times New Roman" w:eastAsia="仿宋" w:cs="Times New Roman"/>
          <w:sz w:val="24"/>
          <w:szCs w:val="24"/>
        </w:rPr>
        <w:t>日，中蒙两国签署了《中华人民共和国政府和阿塞拜疆共和国政府关于对所得避免双重征税和防止偷漏税的协定》，该协定自</w:t>
      </w:r>
      <w:r>
        <w:rPr>
          <w:rFonts w:hint="eastAsia" w:ascii="Times New Roman" w:hAnsi="Times New Roman" w:eastAsia="仿宋" w:cs="Times New Roman"/>
          <w:sz w:val="24"/>
          <w:szCs w:val="24"/>
        </w:rPr>
        <w:t>2005年8月17日起</w:t>
      </w:r>
      <w:r>
        <w:rPr>
          <w:rFonts w:ascii="Times New Roman" w:hAnsi="Times New Roman" w:eastAsia="仿宋" w:cs="Times New Roman"/>
          <w:sz w:val="24"/>
          <w:szCs w:val="24"/>
        </w:rPr>
        <w:t>生效。</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本文重点就中阿BIT的核心条款进行分析，同时结合阿塞拜疆</w:t>
      </w:r>
      <w:r>
        <w:rPr>
          <w:rFonts w:hint="eastAsia" w:ascii="Times New Roman" w:hAnsi="Times New Roman" w:eastAsia="仿宋" w:cs="Times New Roman"/>
          <w:sz w:val="24"/>
          <w:szCs w:val="24"/>
        </w:rPr>
        <w:t>在ICSID的相关投资仲裁案件</w:t>
      </w:r>
      <w:r>
        <w:rPr>
          <w:rFonts w:ascii="Times New Roman" w:hAnsi="Times New Roman" w:eastAsia="仿宋" w:cs="Times New Roman"/>
          <w:sz w:val="24"/>
          <w:szCs w:val="24"/>
        </w:rPr>
        <w:t>，从</w:t>
      </w:r>
      <w:r>
        <w:rPr>
          <w:rFonts w:hint="eastAsia" w:ascii="Times New Roman" w:hAnsi="Times New Roman" w:eastAsia="仿宋" w:cs="Times New Roman"/>
          <w:sz w:val="24"/>
          <w:szCs w:val="24"/>
        </w:rPr>
        <w:t>我</w:t>
      </w:r>
      <w:r>
        <w:rPr>
          <w:rFonts w:ascii="Times New Roman" w:hAnsi="Times New Roman" w:eastAsia="仿宋" w:cs="Times New Roman"/>
          <w:sz w:val="24"/>
          <w:szCs w:val="24"/>
        </w:rPr>
        <w:t>国投资者的角度揭示其中潜在的投资风险，旨在为保护</w:t>
      </w:r>
      <w:r>
        <w:rPr>
          <w:rFonts w:hint="eastAsia" w:ascii="Times New Roman" w:hAnsi="Times New Roman" w:eastAsia="仿宋" w:cs="Times New Roman"/>
          <w:sz w:val="24"/>
          <w:szCs w:val="24"/>
        </w:rPr>
        <w:t>中</w:t>
      </w:r>
      <w:r>
        <w:rPr>
          <w:rFonts w:ascii="Times New Roman" w:hAnsi="Times New Roman" w:eastAsia="仿宋" w:cs="Times New Roman"/>
          <w:sz w:val="24"/>
          <w:szCs w:val="24"/>
        </w:rPr>
        <w:t>国在阿塞拜疆的投资者</w:t>
      </w:r>
      <w:r>
        <w:rPr>
          <w:rFonts w:hint="eastAsia" w:ascii="Times New Roman" w:hAnsi="Times New Roman" w:eastAsia="仿宋" w:cs="Times New Roman"/>
          <w:sz w:val="24"/>
          <w:szCs w:val="24"/>
        </w:rPr>
        <w:t>及其</w:t>
      </w:r>
      <w:r>
        <w:rPr>
          <w:rFonts w:ascii="Times New Roman" w:hAnsi="Times New Roman" w:eastAsia="仿宋" w:cs="Times New Roman"/>
          <w:sz w:val="24"/>
          <w:szCs w:val="24"/>
        </w:rPr>
        <w:t>投资提供一定的参考。</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jc w:val="left"/>
        <w:rPr>
          <w:rFonts w:ascii="Times New Roman" w:hAnsi="Times New Roman" w:eastAsia="仿宋" w:cs="Times New Roman"/>
          <w:sz w:val="28"/>
          <w:szCs w:val="28"/>
        </w:rPr>
      </w:pPr>
      <w:r>
        <w:rPr>
          <w:rFonts w:ascii="Times New Roman" w:hAnsi="Times New Roman" w:eastAsia="仿宋" w:cs="Times New Roman"/>
          <w:sz w:val="28"/>
          <w:szCs w:val="28"/>
        </w:rPr>
        <w:t>中阿BIT核心条款解析</w:t>
      </w: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（一）中阿BIT概览</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中阿BIT主要包括以下条款：（1）“投资”、“投资者”、“收益”</w:t>
      </w:r>
      <w:r>
        <w:rPr>
          <w:rFonts w:hint="eastAsia" w:ascii="Times New Roman" w:hAnsi="Times New Roman" w:eastAsia="仿宋" w:cs="Times New Roman"/>
          <w:sz w:val="24"/>
          <w:szCs w:val="24"/>
        </w:rPr>
        <w:t>、“领土”</w:t>
      </w:r>
      <w:r>
        <w:rPr>
          <w:rFonts w:ascii="Times New Roman" w:hAnsi="Times New Roman" w:eastAsia="仿宋" w:cs="Times New Roman"/>
          <w:sz w:val="24"/>
          <w:szCs w:val="24"/>
        </w:rPr>
        <w:t>的定义；（2）对缔约另一方投资者的鼓励和保护；（3）投资的待遇；（4）国有化、征收或类似措施；（5）</w:t>
      </w:r>
      <w:r>
        <w:rPr>
          <w:rFonts w:hint="eastAsia" w:ascii="Times New Roman" w:hAnsi="Times New Roman" w:eastAsia="仿宋" w:cs="Times New Roman"/>
          <w:sz w:val="24"/>
          <w:szCs w:val="24"/>
        </w:rPr>
        <w:t>损失补偿；（6）投资和收益</w:t>
      </w:r>
      <w:r>
        <w:rPr>
          <w:rFonts w:ascii="Times New Roman" w:hAnsi="Times New Roman" w:eastAsia="仿宋" w:cs="Times New Roman"/>
          <w:sz w:val="24"/>
          <w:szCs w:val="24"/>
        </w:rPr>
        <w:t>的转移；（</w:t>
      </w:r>
      <w:r>
        <w:rPr>
          <w:rFonts w:hint="eastAsia" w:ascii="Times New Roman" w:hAnsi="Times New Roman" w:eastAsia="仿宋" w:cs="Times New Roman"/>
          <w:sz w:val="24"/>
          <w:szCs w:val="24"/>
        </w:rPr>
        <w:t>7</w:t>
      </w:r>
      <w:r>
        <w:rPr>
          <w:rFonts w:ascii="Times New Roman" w:hAnsi="Times New Roman" w:eastAsia="仿宋" w:cs="Times New Roman"/>
          <w:sz w:val="24"/>
          <w:szCs w:val="24"/>
        </w:rPr>
        <w:t>）代位权；（</w:t>
      </w:r>
      <w:r>
        <w:rPr>
          <w:rFonts w:hint="eastAsia" w:ascii="Times New Roman" w:hAnsi="Times New Roman" w:eastAsia="仿宋" w:cs="Times New Roman"/>
          <w:sz w:val="24"/>
          <w:szCs w:val="24"/>
        </w:rPr>
        <w:t>8</w:t>
      </w:r>
      <w:r>
        <w:rPr>
          <w:rFonts w:ascii="Times New Roman" w:hAnsi="Times New Roman" w:eastAsia="仿宋" w:cs="Times New Roman"/>
          <w:sz w:val="24"/>
          <w:szCs w:val="24"/>
        </w:rPr>
        <w:t>）协定解释或适用争端的解决；（</w:t>
      </w:r>
      <w:r>
        <w:rPr>
          <w:rFonts w:hint="eastAsia" w:ascii="Times New Roman" w:hAnsi="Times New Roman" w:eastAsia="仿宋" w:cs="Times New Roman"/>
          <w:sz w:val="24"/>
          <w:szCs w:val="24"/>
        </w:rPr>
        <w:t>9</w:t>
      </w:r>
      <w:r>
        <w:rPr>
          <w:rFonts w:ascii="Times New Roman" w:hAnsi="Times New Roman" w:eastAsia="仿宋" w:cs="Times New Roman"/>
          <w:sz w:val="24"/>
          <w:szCs w:val="24"/>
        </w:rPr>
        <w:t>）投资者与东道国投资争议的解决；（</w:t>
      </w:r>
      <w:r>
        <w:rPr>
          <w:rFonts w:hint="eastAsia" w:ascii="Times New Roman" w:hAnsi="Times New Roman" w:eastAsia="仿宋" w:cs="Times New Roman"/>
          <w:sz w:val="24"/>
          <w:szCs w:val="24"/>
        </w:rPr>
        <w:t>10</w:t>
      </w:r>
      <w:r>
        <w:rPr>
          <w:rFonts w:ascii="Times New Roman" w:hAnsi="Times New Roman" w:eastAsia="仿宋" w:cs="Times New Roman"/>
          <w:sz w:val="24"/>
          <w:szCs w:val="24"/>
        </w:rPr>
        <w:t>）更优待遇原则；（1</w:t>
      </w:r>
      <w:r>
        <w:rPr>
          <w:rFonts w:hint="eastAsia" w:ascii="Times New Roman" w:hAnsi="Times New Roman" w:eastAsia="仿宋" w:cs="Times New Roman"/>
          <w:sz w:val="24"/>
          <w:szCs w:val="24"/>
        </w:rPr>
        <w:t>1</w:t>
      </w:r>
      <w:r>
        <w:rPr>
          <w:rFonts w:ascii="Times New Roman" w:hAnsi="Times New Roman" w:eastAsia="仿宋" w:cs="Times New Roman"/>
          <w:sz w:val="24"/>
          <w:szCs w:val="24"/>
        </w:rPr>
        <w:t>）协定的适用范围；（1</w:t>
      </w:r>
      <w:r>
        <w:rPr>
          <w:rFonts w:hint="eastAsia" w:ascii="Times New Roman" w:hAnsi="Times New Roman" w:eastAsia="仿宋" w:cs="Times New Roman"/>
          <w:sz w:val="24"/>
          <w:szCs w:val="24"/>
        </w:rPr>
        <w:t>2</w:t>
      </w:r>
      <w:r>
        <w:rPr>
          <w:rFonts w:ascii="Times New Roman" w:hAnsi="Times New Roman" w:eastAsia="仿宋" w:cs="Times New Roman"/>
          <w:sz w:val="24"/>
          <w:szCs w:val="24"/>
        </w:rPr>
        <w:t>）缔约双方的磋商；（1</w:t>
      </w:r>
      <w:r>
        <w:rPr>
          <w:rFonts w:hint="eastAsia" w:ascii="Times New Roman" w:hAnsi="Times New Roman" w:eastAsia="仿宋" w:cs="Times New Roman"/>
          <w:sz w:val="24"/>
          <w:szCs w:val="24"/>
        </w:rPr>
        <w:t>3</w:t>
      </w:r>
      <w:r>
        <w:rPr>
          <w:rFonts w:ascii="Times New Roman" w:hAnsi="Times New Roman" w:eastAsia="仿宋" w:cs="Times New Roman"/>
          <w:sz w:val="24"/>
          <w:szCs w:val="24"/>
        </w:rPr>
        <w:t>）协定的生效、期限和终止。</w:t>
      </w:r>
    </w:p>
    <w:p>
      <w:pPr>
        <w:spacing w:line="360" w:lineRule="auto"/>
        <w:ind w:firstLine="480" w:firstLineChars="200"/>
        <w:rPr>
          <w:rFonts w:ascii="Times New Roman" w:hAnsi="Times New Roman" w:eastAsia="仿宋" w:cs="Times New Roman"/>
          <w:sz w:val="24"/>
          <w:szCs w:val="24"/>
        </w:rPr>
      </w:pPr>
    </w:p>
    <w:p>
      <w:pPr>
        <w:pStyle w:val="3"/>
        <w:spacing w:before="0" w:after="0" w:line="360" w:lineRule="auto"/>
        <w:ind w:left="482"/>
        <w:rPr>
          <w:rFonts w:ascii="Times New Roman" w:hAnsi="Times New Roman" w:eastAsia="仿宋" w:cs="Times New Roman"/>
          <w:sz w:val="24"/>
          <w:szCs w:val="24"/>
        </w:rPr>
      </w:pPr>
      <w:r>
        <w:rPr>
          <w:rFonts w:ascii="Times New Roman" w:hAnsi="Times New Roman" w:eastAsia="仿宋" w:cs="Times New Roman"/>
          <w:sz w:val="24"/>
          <w:szCs w:val="24"/>
        </w:rPr>
        <w:t>（二）投资和投资者的定义</w:t>
      </w:r>
    </w:p>
    <w:p>
      <w:pPr>
        <w:spacing w:line="360" w:lineRule="auto"/>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1. 投资者的定义</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根据中阿BIT</w:t>
      </w:r>
      <w:r>
        <w:rPr>
          <w:rFonts w:ascii="Times New Roman" w:hAnsi="Times New Roman" w:eastAsia="仿宋" w:cs="Times New Roman"/>
          <w:sz w:val="24"/>
          <w:szCs w:val="24"/>
          <w:highlight w:val="none"/>
        </w:rPr>
        <w:t>第1条规定</w:t>
      </w:r>
      <w:r>
        <w:rPr>
          <w:rFonts w:ascii="Times New Roman" w:hAnsi="Times New Roman" w:eastAsia="仿宋" w:cs="Times New Roman"/>
          <w:sz w:val="24"/>
          <w:szCs w:val="24"/>
        </w:rPr>
        <w:t>，中阿BIT项下我国向阿塞拜疆境内投资的“投资者”为：</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w:t>
      </w:r>
      <w:r>
        <w:rPr>
          <w:rFonts w:hint="eastAsia" w:ascii="Times New Roman" w:hAnsi="Times New Roman" w:eastAsia="仿宋" w:cs="Times New Roman"/>
          <w:sz w:val="24"/>
          <w:szCs w:val="24"/>
        </w:rPr>
        <w:t>依照我国法律</w:t>
      </w:r>
      <w:r>
        <w:rPr>
          <w:rFonts w:ascii="Times New Roman" w:hAnsi="Times New Roman" w:eastAsia="仿宋" w:cs="Times New Roman"/>
          <w:sz w:val="24"/>
          <w:szCs w:val="24"/>
        </w:rPr>
        <w:t>具有我国国籍的自然人</w:t>
      </w:r>
      <w:bookmarkStart w:id="0" w:name="No15_T1K1X1M2"/>
      <w:bookmarkEnd w:id="0"/>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（2）依照我国的法律设立，其住所在我国领土内的经济</w:t>
      </w:r>
      <w:r>
        <w:rPr>
          <w:rFonts w:hint="eastAsia" w:ascii="Times New Roman" w:hAnsi="Times New Roman" w:eastAsia="仿宋" w:cs="Times New Roman"/>
          <w:sz w:val="24"/>
          <w:szCs w:val="24"/>
        </w:rPr>
        <w:t>组织。</w:t>
      </w:r>
      <w:r>
        <w:rPr>
          <w:rFonts w:ascii="Times New Roman" w:hAnsi="Times New Roman" w:eastAsia="仿宋" w:cs="Times New Roman"/>
          <w:sz w:val="24"/>
          <w:szCs w:val="24"/>
        </w:rPr>
        <w:t>我国对阿塞拜疆的机构投资者需同时满足</w:t>
      </w:r>
      <w:r>
        <w:rPr>
          <w:rFonts w:hint="eastAsia" w:ascii="Times New Roman" w:hAnsi="Times New Roman" w:eastAsia="仿宋" w:cs="Times New Roman"/>
          <w:sz w:val="24"/>
          <w:szCs w:val="24"/>
        </w:rPr>
        <w:t>“</w:t>
      </w:r>
      <w:r>
        <w:rPr>
          <w:rFonts w:ascii="Times New Roman" w:hAnsi="Times New Roman" w:eastAsia="仿宋" w:cs="Times New Roman"/>
          <w:sz w:val="24"/>
          <w:szCs w:val="24"/>
        </w:rPr>
        <w:t>设立地</w:t>
      </w:r>
      <w:r>
        <w:rPr>
          <w:rFonts w:hint="eastAsia" w:ascii="Times New Roman" w:hAnsi="Times New Roman" w:eastAsia="仿宋" w:cs="Times New Roman"/>
          <w:sz w:val="24"/>
          <w:szCs w:val="24"/>
        </w:rPr>
        <w:t>”和“住所地”两个条件。</w:t>
      </w:r>
    </w:p>
    <w:p>
      <w:pPr>
        <w:spacing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b/>
          <w:sz w:val="24"/>
          <w:szCs w:val="24"/>
        </w:rPr>
        <w:t>2．投资的定义</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中阿BIT</w:t>
      </w:r>
      <w:r>
        <w:rPr>
          <w:rFonts w:ascii="Times New Roman" w:hAnsi="Times New Roman" w:eastAsia="仿宋" w:cs="Times New Roman"/>
          <w:sz w:val="24"/>
          <w:szCs w:val="24"/>
          <w:highlight w:val="none"/>
        </w:rPr>
        <w:t>第1条第</w:t>
      </w:r>
      <w:r>
        <w:rPr>
          <w:rFonts w:ascii="Times New Roman" w:hAnsi="Times New Roman" w:eastAsia="仿宋" w:cs="Times New Roman"/>
          <w:sz w:val="24"/>
          <w:szCs w:val="24"/>
        </w:rPr>
        <w:t>（1）款定义的我国投资者对阿塞拜疆的“投资”为，我国投资者依照阿塞拜疆的法律和法规在其领土内</w:t>
      </w:r>
      <w:r>
        <w:rPr>
          <w:rFonts w:hint="eastAsia" w:ascii="Times New Roman" w:hAnsi="Times New Roman" w:eastAsia="仿宋" w:cs="Times New Roman"/>
          <w:sz w:val="24"/>
          <w:szCs w:val="24"/>
        </w:rPr>
        <w:t>所投入</w:t>
      </w:r>
      <w:r>
        <w:rPr>
          <w:rFonts w:ascii="Times New Roman" w:hAnsi="Times New Roman" w:eastAsia="仿宋" w:cs="Times New Roman"/>
          <w:sz w:val="24"/>
          <w:szCs w:val="24"/>
        </w:rPr>
        <w:t>的各种财产，</w:t>
      </w:r>
      <w:r>
        <w:rPr>
          <w:rFonts w:hint="eastAsia" w:ascii="Times New Roman" w:hAnsi="Times New Roman" w:eastAsia="仿宋" w:cs="Times New Roman"/>
          <w:sz w:val="24"/>
          <w:szCs w:val="24"/>
        </w:rPr>
        <w:t>特别是，但不限于</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w:t>
      </w:r>
      <w:r>
        <w:rPr>
          <w:rFonts w:hint="eastAsia" w:ascii="Times New Roman" w:hAnsi="Times New Roman" w:eastAsia="仿宋" w:cs="Times New Roman"/>
          <w:sz w:val="24"/>
          <w:szCs w:val="24"/>
        </w:rPr>
        <w:t>动产、不动产及其他财产权利，如抵押权、质权</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w:t>
      </w:r>
      <w:r>
        <w:rPr>
          <w:rFonts w:hint="eastAsia" w:ascii="Times New Roman" w:hAnsi="Times New Roman" w:eastAsia="仿宋" w:cs="Times New Roman"/>
          <w:sz w:val="24"/>
          <w:szCs w:val="24"/>
        </w:rPr>
        <w:t>公司的股份、股票和任何其他形式的参股</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（3）</w:t>
      </w:r>
      <w:r>
        <w:rPr>
          <w:rFonts w:hint="eastAsia" w:ascii="Times New Roman" w:hAnsi="Times New Roman" w:eastAsia="仿宋" w:cs="Times New Roman"/>
          <w:sz w:val="24"/>
          <w:szCs w:val="24"/>
        </w:rPr>
        <w:t>金钱请求权或其他具有经济价值的行为请求权</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（4）</w:t>
      </w:r>
      <w:r>
        <w:rPr>
          <w:rFonts w:hint="eastAsia" w:ascii="Times New Roman" w:hAnsi="Times New Roman" w:eastAsia="仿宋" w:cs="Times New Roman"/>
          <w:sz w:val="24"/>
          <w:szCs w:val="24"/>
        </w:rPr>
        <w:t>著作权、工业产权、专有技术和工艺流程</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（5）</w:t>
      </w:r>
      <w:r>
        <w:rPr>
          <w:rFonts w:hint="eastAsia" w:ascii="Times New Roman" w:hAnsi="Times New Roman" w:eastAsia="仿宋" w:cs="Times New Roman"/>
          <w:sz w:val="24"/>
          <w:szCs w:val="24"/>
        </w:rPr>
        <w:t>依照法律授予的特许权，包括勘探和开发自然资源的特许权</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中阿BIT</w:t>
      </w:r>
      <w:r>
        <w:rPr>
          <w:rFonts w:ascii="Times New Roman" w:hAnsi="Times New Roman" w:eastAsia="仿宋" w:cs="Times New Roman"/>
          <w:sz w:val="24"/>
          <w:szCs w:val="24"/>
          <w:highlight w:val="none"/>
        </w:rPr>
        <w:t>第1条第</w:t>
      </w:r>
      <w:r>
        <w:rPr>
          <w:rFonts w:ascii="Times New Roman" w:hAnsi="Times New Roman" w:eastAsia="仿宋" w:cs="Times New Roman"/>
          <w:sz w:val="24"/>
          <w:szCs w:val="24"/>
        </w:rPr>
        <w:t>（1）款主要列举的五类财产形式</w:t>
      </w:r>
      <w:r>
        <w:rPr>
          <w:rFonts w:hint="eastAsia" w:ascii="Times New Roman" w:hAnsi="Times New Roman" w:eastAsia="仿宋" w:cs="Times New Roman"/>
          <w:sz w:val="24"/>
          <w:szCs w:val="24"/>
        </w:rPr>
        <w:t>，可涵盖的投资形式较为广泛</w:t>
      </w:r>
      <w:r>
        <w:rPr>
          <w:rFonts w:ascii="Times New Roman" w:hAnsi="Times New Roman" w:eastAsia="仿宋" w:cs="Times New Roman"/>
          <w:sz w:val="24"/>
          <w:szCs w:val="24"/>
        </w:rPr>
        <w:t>，对于一些特定类别的“财产”是否属于中阿BIT下的合格“投资”，需要</w:t>
      </w:r>
      <w:r>
        <w:rPr>
          <w:rFonts w:hint="eastAsia" w:ascii="Times New Roman" w:hAnsi="Times New Roman" w:eastAsia="仿宋" w:cs="Times New Roman"/>
          <w:sz w:val="24"/>
          <w:szCs w:val="24"/>
        </w:rPr>
        <w:t>同时</w:t>
      </w:r>
      <w:r>
        <w:rPr>
          <w:rFonts w:ascii="Times New Roman" w:hAnsi="Times New Roman" w:eastAsia="仿宋" w:cs="Times New Roman"/>
          <w:sz w:val="24"/>
          <w:szCs w:val="24"/>
        </w:rPr>
        <w:t>结合阿塞拜疆国内相关法律规定加以考察。</w:t>
      </w:r>
    </w:p>
    <w:p>
      <w:pPr>
        <w:spacing w:line="360" w:lineRule="auto"/>
        <w:ind w:firstLine="480" w:firstLineChars="200"/>
        <w:rPr>
          <w:rFonts w:ascii="Times New Roman" w:hAnsi="Times New Roman" w:eastAsia="仿宋" w:cs="Times New Roman"/>
          <w:sz w:val="24"/>
          <w:szCs w:val="24"/>
        </w:rPr>
      </w:pPr>
      <w:bookmarkStart w:id="1" w:name="No11_T1K1X4"/>
      <w:bookmarkEnd w:id="1"/>
      <w:bookmarkStart w:id="2" w:name="No22_T1K1X3"/>
      <w:bookmarkEnd w:id="2"/>
      <w:bookmarkStart w:id="3" w:name="No9_T1K1X2"/>
      <w:bookmarkEnd w:id="3"/>
      <w:bookmarkStart w:id="4" w:name="No21_T1K1X2"/>
      <w:bookmarkEnd w:id="4"/>
      <w:bookmarkStart w:id="5" w:name="No12_T1K1X5"/>
      <w:bookmarkEnd w:id="5"/>
      <w:bookmarkStart w:id="6" w:name="No23_T1K1X4"/>
      <w:bookmarkEnd w:id="6"/>
      <w:bookmarkStart w:id="7" w:name="No10_T1K1X3"/>
      <w:bookmarkEnd w:id="7"/>
      <w:bookmarkStart w:id="8" w:name="No24_T1K1X5"/>
      <w:bookmarkEnd w:id="8"/>
      <w:r>
        <w:rPr>
          <w:rFonts w:ascii="Times New Roman" w:hAnsi="Times New Roman" w:eastAsia="仿宋" w:cs="Times New Roman"/>
          <w:sz w:val="24"/>
          <w:szCs w:val="24"/>
        </w:rPr>
        <w:t>（</w:t>
      </w:r>
      <w:r>
        <w:rPr>
          <w:rFonts w:hint="eastAsia" w:ascii="Times New Roman" w:hAnsi="Times New Roman" w:eastAsia="仿宋" w:cs="Times New Roman"/>
          <w:sz w:val="24"/>
          <w:szCs w:val="24"/>
        </w:rPr>
        <w:t>1</w:t>
      </w:r>
      <w:r>
        <w:rPr>
          <w:rFonts w:ascii="Times New Roman" w:hAnsi="Times New Roman" w:eastAsia="仿宋" w:cs="Times New Roman"/>
          <w:sz w:val="24"/>
          <w:szCs w:val="24"/>
        </w:rPr>
        <w:t>）国际承包工程项目</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a. 直接</w:t>
      </w:r>
      <w:r>
        <w:rPr>
          <w:rFonts w:hint="eastAsia" w:ascii="Times New Roman" w:hAnsi="Times New Roman" w:eastAsia="仿宋" w:cs="Times New Roman"/>
          <w:sz w:val="24"/>
          <w:szCs w:val="24"/>
        </w:rPr>
        <w:t>承包当地</w:t>
      </w:r>
      <w:r>
        <w:rPr>
          <w:rFonts w:ascii="Times New Roman" w:hAnsi="Times New Roman" w:eastAsia="仿宋" w:cs="Times New Roman"/>
          <w:sz w:val="24"/>
          <w:szCs w:val="24"/>
        </w:rPr>
        <w:t>工程项目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阿塞拜疆国内法律允许外国承包商通过投标或议标的方式进入阿塞拜疆国内承包工程项目，但不允许外国自然人在当地承揽承包项目；我国承包商在阿塞拜疆境内活动须遵守阿塞拜疆《</w:t>
      </w:r>
      <w:r>
        <w:rPr>
          <w:rFonts w:ascii="Times New Roman" w:hAnsi="Times New Roman" w:eastAsia="仿宋" w:cs="Times New Roman"/>
          <w:sz w:val="24"/>
          <w:szCs w:val="24"/>
        </w:rPr>
        <w:t>建筑和城市规划</w:t>
      </w:r>
      <w:r>
        <w:rPr>
          <w:rFonts w:hint="eastAsia" w:ascii="Times New Roman" w:hAnsi="Times New Roman" w:eastAsia="仿宋" w:cs="Times New Roman"/>
          <w:sz w:val="24"/>
          <w:szCs w:val="24"/>
        </w:rPr>
        <w:t>法》的规定；除涉及国防安全和国家秘密的项目以外，</w:t>
      </w:r>
      <w:bookmarkStart w:id="9" w:name="_Hlk37436849"/>
      <w:r>
        <w:rPr>
          <w:rFonts w:hint="eastAsia" w:ascii="Times New Roman" w:hAnsi="Times New Roman" w:eastAsia="仿宋" w:cs="Times New Roman"/>
          <w:sz w:val="24"/>
          <w:szCs w:val="24"/>
        </w:rPr>
        <w:t>阿塞拜疆</w:t>
      </w:r>
      <w:bookmarkEnd w:id="9"/>
      <w:r>
        <w:rPr>
          <w:rFonts w:hint="eastAsia" w:ascii="Times New Roman" w:hAnsi="Times New Roman" w:eastAsia="仿宋" w:cs="Times New Roman"/>
          <w:sz w:val="24"/>
          <w:szCs w:val="24"/>
        </w:rPr>
        <w:t>对外国承包商无特别禁止领域</w:t>
      </w:r>
      <w:r>
        <w:rPr>
          <w:rStyle w:val="18"/>
          <w:rFonts w:ascii="Times New Roman" w:hAnsi="Times New Roman" w:eastAsia="仿宋" w:cs="Times New Roman"/>
          <w:sz w:val="24"/>
          <w:szCs w:val="24"/>
        </w:rPr>
        <w:footnoteReference w:id="4"/>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因此，我国承包商通过与阿塞拜疆当地业主签署工程承包合同</w:t>
      </w:r>
      <w:r>
        <w:rPr>
          <w:rFonts w:ascii="Times New Roman" w:hAnsi="Times New Roman" w:eastAsia="仿宋" w:cs="Times New Roman"/>
          <w:sz w:val="24"/>
          <w:szCs w:val="24"/>
        </w:rPr>
        <w:t>直接</w:t>
      </w:r>
      <w:r>
        <w:rPr>
          <w:rFonts w:hint="eastAsia" w:ascii="Times New Roman" w:hAnsi="Times New Roman" w:eastAsia="仿宋" w:cs="Times New Roman"/>
          <w:sz w:val="24"/>
          <w:szCs w:val="24"/>
        </w:rPr>
        <w:t>承包阿塞拜疆境内的</w:t>
      </w:r>
      <w:r>
        <w:rPr>
          <w:rFonts w:ascii="Times New Roman" w:hAnsi="Times New Roman" w:eastAsia="仿宋" w:cs="Times New Roman"/>
          <w:sz w:val="24"/>
          <w:szCs w:val="24"/>
        </w:rPr>
        <w:t>工程项目</w:t>
      </w:r>
      <w:r>
        <w:rPr>
          <w:rFonts w:hint="eastAsia" w:ascii="Times New Roman" w:hAnsi="Times New Roman" w:eastAsia="仿宋" w:cs="Times New Roman"/>
          <w:sz w:val="24"/>
          <w:szCs w:val="24"/>
        </w:rPr>
        <w:t>，依据工程承包合同</w:t>
      </w:r>
      <w:r>
        <w:rPr>
          <w:rFonts w:ascii="Times New Roman" w:hAnsi="Times New Roman" w:eastAsia="仿宋" w:cs="Times New Roman"/>
          <w:sz w:val="24"/>
          <w:szCs w:val="24"/>
        </w:rPr>
        <w:t>享有对工程价款等款项的</w:t>
      </w:r>
      <w:r>
        <w:rPr>
          <w:rFonts w:hint="eastAsia" w:ascii="Times New Roman" w:hAnsi="Times New Roman" w:eastAsia="仿宋" w:cs="Times New Roman"/>
          <w:sz w:val="24"/>
          <w:szCs w:val="24"/>
        </w:rPr>
        <w:t>“</w:t>
      </w:r>
      <w:r>
        <w:rPr>
          <w:rFonts w:ascii="Times New Roman" w:hAnsi="Times New Roman" w:eastAsia="仿宋" w:cs="Times New Roman"/>
          <w:sz w:val="24"/>
          <w:szCs w:val="24"/>
        </w:rPr>
        <w:t>金钱请求权</w:t>
      </w:r>
      <w:r>
        <w:rPr>
          <w:rFonts w:hint="eastAsia" w:ascii="Times New Roman" w:hAnsi="Times New Roman" w:eastAsia="仿宋" w:cs="Times New Roman"/>
          <w:sz w:val="24"/>
          <w:szCs w:val="24"/>
        </w:rPr>
        <w:t>”以及依据合同约定的相关“</w:t>
      </w:r>
      <w:r>
        <w:rPr>
          <w:rFonts w:ascii="Times New Roman" w:hAnsi="Times New Roman" w:eastAsia="仿宋" w:cs="Times New Roman"/>
          <w:sz w:val="24"/>
          <w:szCs w:val="24"/>
        </w:rPr>
        <w:t>行为请求权</w:t>
      </w:r>
      <w:r>
        <w:rPr>
          <w:rFonts w:hint="eastAsia" w:ascii="Times New Roman" w:hAnsi="Times New Roman" w:eastAsia="仿宋" w:cs="Times New Roman"/>
          <w:sz w:val="24"/>
          <w:szCs w:val="24"/>
        </w:rPr>
        <w:t>”，符合</w:t>
      </w:r>
      <w:r>
        <w:rPr>
          <w:rFonts w:ascii="Times New Roman" w:hAnsi="Times New Roman" w:eastAsia="仿宋" w:cs="Times New Roman"/>
          <w:sz w:val="24"/>
          <w:szCs w:val="24"/>
        </w:rPr>
        <w:t>中阿BIT</w:t>
      </w:r>
      <w:r>
        <w:rPr>
          <w:rFonts w:ascii="Times New Roman" w:hAnsi="Times New Roman" w:eastAsia="仿宋" w:cs="Times New Roman"/>
          <w:sz w:val="24"/>
          <w:szCs w:val="24"/>
          <w:highlight w:val="none"/>
        </w:rPr>
        <w:t>第</w:t>
      </w:r>
      <w:r>
        <w:rPr>
          <w:rFonts w:hint="eastAsia" w:ascii="Times New Roman" w:hAnsi="Times New Roman" w:eastAsia="仿宋" w:cs="Times New Roman"/>
          <w:sz w:val="24"/>
          <w:szCs w:val="24"/>
          <w:highlight w:val="none"/>
        </w:rPr>
        <w:t>1条第</w:t>
      </w:r>
      <w:r>
        <w:rPr>
          <w:rFonts w:hint="eastAsia" w:ascii="Times New Roman" w:hAnsi="Times New Roman" w:eastAsia="仿宋" w:cs="Times New Roman"/>
          <w:sz w:val="24"/>
          <w:szCs w:val="24"/>
        </w:rPr>
        <w:t>（1）款第三项关于“投资”的定义，属于</w:t>
      </w:r>
      <w:r>
        <w:rPr>
          <w:rFonts w:ascii="Times New Roman" w:hAnsi="Times New Roman" w:eastAsia="仿宋" w:cs="Times New Roman"/>
          <w:sz w:val="24"/>
          <w:szCs w:val="24"/>
        </w:rPr>
        <w:t>中阿BIT项下的合格投资</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b</w:t>
      </w:r>
      <w:r>
        <w:rPr>
          <w:rFonts w:ascii="Times New Roman" w:hAnsi="Times New Roman" w:eastAsia="仿宋" w:cs="Times New Roman"/>
          <w:sz w:val="24"/>
          <w:szCs w:val="24"/>
        </w:rPr>
        <w:t>.</w:t>
      </w:r>
      <w:r>
        <w:rPr>
          <w:rFonts w:hint="eastAsia" w:ascii="Times New Roman" w:hAnsi="Times New Roman" w:eastAsia="仿宋" w:cs="Times New Roman"/>
          <w:sz w:val="24"/>
          <w:szCs w:val="24"/>
        </w:rPr>
        <w:t xml:space="preserve"> 在当地</w:t>
      </w:r>
      <w:r>
        <w:rPr>
          <w:rFonts w:ascii="Times New Roman" w:hAnsi="Times New Roman" w:eastAsia="仿宋" w:cs="Times New Roman"/>
          <w:sz w:val="24"/>
          <w:szCs w:val="24"/>
        </w:rPr>
        <w:t>设立</w:t>
      </w:r>
      <w:r>
        <w:rPr>
          <w:rFonts w:hint="eastAsia" w:ascii="Times New Roman" w:hAnsi="Times New Roman" w:eastAsia="仿宋" w:cs="Times New Roman"/>
          <w:sz w:val="24"/>
          <w:szCs w:val="24"/>
        </w:rPr>
        <w:t>企业承包工程项目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w:t>
      </w:r>
      <w:r>
        <w:rPr>
          <w:rFonts w:hint="eastAsia" w:ascii="Times New Roman" w:hAnsi="Times New Roman" w:eastAsia="仿宋" w:cs="Times New Roman"/>
          <w:bCs/>
          <w:sz w:val="24"/>
          <w:szCs w:val="24"/>
        </w:rPr>
        <w:t>阿塞拜疆</w:t>
      </w:r>
      <w:bookmarkStart w:id="10" w:name="_Hlk36482316"/>
      <w:r>
        <w:rPr>
          <w:rFonts w:hint="eastAsia" w:ascii="Times New Roman" w:hAnsi="Times New Roman" w:eastAsia="仿宋" w:cs="Times New Roman"/>
          <w:sz w:val="24"/>
          <w:szCs w:val="24"/>
        </w:rPr>
        <w:t>《</w:t>
      </w:r>
      <w:r>
        <w:rPr>
          <w:rFonts w:hint="eastAsia" w:ascii="Times New Roman" w:hAnsi="Times New Roman" w:eastAsia="仿宋" w:cs="Times New Roman"/>
          <w:bCs/>
          <w:sz w:val="24"/>
          <w:szCs w:val="24"/>
        </w:rPr>
        <w:t>外商投资保护法</w:t>
      </w:r>
      <w:r>
        <w:rPr>
          <w:rFonts w:hint="eastAsia" w:ascii="Times New Roman" w:hAnsi="Times New Roman" w:eastAsia="仿宋" w:cs="Times New Roman"/>
          <w:sz w:val="24"/>
          <w:szCs w:val="24"/>
        </w:rPr>
        <w:t>》</w:t>
      </w:r>
      <w:r>
        <w:rPr>
          <w:rFonts w:hint="eastAsia" w:ascii="Times New Roman" w:hAnsi="Times New Roman" w:eastAsia="仿宋" w:cs="Times New Roman"/>
          <w:sz w:val="24"/>
          <w:szCs w:val="24"/>
          <w:highlight w:val="none"/>
        </w:rPr>
        <w:t>第3条</w:t>
      </w:r>
      <w:bookmarkEnd w:id="10"/>
      <w:r>
        <w:rPr>
          <w:rFonts w:hint="eastAsia" w:ascii="Times New Roman" w:hAnsi="Times New Roman" w:eastAsia="仿宋" w:cs="Times New Roman"/>
          <w:sz w:val="24"/>
          <w:szCs w:val="24"/>
          <w:highlight w:val="none"/>
        </w:rPr>
        <w:t>规定</w:t>
      </w:r>
      <w:r>
        <w:rPr>
          <w:rFonts w:hint="eastAsia" w:ascii="Times New Roman" w:hAnsi="Times New Roman" w:eastAsia="仿宋" w:cs="Times New Roman"/>
          <w:sz w:val="24"/>
          <w:szCs w:val="24"/>
        </w:rPr>
        <w:t>，我国投资者可以在阿塞拜疆境内设立外商独资企业、合资企业或收购当地企业股份。因此，我国承包商亦可通过在阿塞拜疆境内单独设立或与当地企业合作设立的外商投资企业承包工程项目。此种情况下，我国承包商在阿塞拜疆设立的子公司可获得</w:t>
      </w:r>
      <w:r>
        <w:rPr>
          <w:rFonts w:ascii="Times New Roman" w:hAnsi="Times New Roman" w:eastAsia="仿宋" w:cs="Times New Roman"/>
          <w:sz w:val="24"/>
          <w:szCs w:val="24"/>
        </w:rPr>
        <w:t>阿塞拜疆国内外</w:t>
      </w:r>
      <w:r>
        <w:rPr>
          <w:rFonts w:hint="eastAsia" w:ascii="Times New Roman" w:hAnsi="Times New Roman" w:eastAsia="仿宋" w:cs="Times New Roman"/>
          <w:sz w:val="24"/>
          <w:szCs w:val="24"/>
        </w:rPr>
        <w:t>商投</w:t>
      </w:r>
      <w:r>
        <w:rPr>
          <w:rFonts w:ascii="Times New Roman" w:hAnsi="Times New Roman" w:eastAsia="仿宋" w:cs="Times New Roman"/>
          <w:sz w:val="24"/>
          <w:szCs w:val="24"/>
        </w:rPr>
        <w:t>资企业相关法律</w:t>
      </w:r>
      <w:r>
        <w:rPr>
          <w:rFonts w:hint="eastAsia" w:ascii="Times New Roman" w:hAnsi="Times New Roman" w:eastAsia="仿宋" w:cs="Times New Roman"/>
          <w:sz w:val="24"/>
          <w:szCs w:val="24"/>
        </w:rPr>
        <w:t>法规</w:t>
      </w:r>
      <w:r>
        <w:rPr>
          <w:rFonts w:ascii="Times New Roman" w:hAnsi="Times New Roman" w:eastAsia="仿宋" w:cs="Times New Roman"/>
          <w:sz w:val="24"/>
          <w:szCs w:val="24"/>
        </w:rPr>
        <w:t>的保护</w:t>
      </w:r>
      <w:r>
        <w:rPr>
          <w:rFonts w:hint="eastAsia" w:ascii="Times New Roman" w:hAnsi="Times New Roman" w:eastAsia="仿宋" w:cs="Times New Roman"/>
          <w:sz w:val="24"/>
          <w:szCs w:val="24"/>
        </w:rPr>
        <w:t>，同时，我国承包商对其子公司的股权投资符合</w:t>
      </w:r>
      <w:r>
        <w:rPr>
          <w:rFonts w:ascii="Times New Roman" w:hAnsi="Times New Roman" w:eastAsia="仿宋" w:cs="Times New Roman"/>
          <w:sz w:val="24"/>
          <w:szCs w:val="24"/>
        </w:rPr>
        <w:t>中阿BIT</w:t>
      </w:r>
      <w:r>
        <w:rPr>
          <w:rFonts w:ascii="Times New Roman" w:hAnsi="Times New Roman" w:eastAsia="仿宋" w:cs="Times New Roman"/>
          <w:sz w:val="24"/>
          <w:szCs w:val="24"/>
          <w:highlight w:val="none"/>
        </w:rPr>
        <w:t>第</w:t>
      </w:r>
      <w:r>
        <w:rPr>
          <w:rFonts w:hint="eastAsia" w:ascii="Times New Roman" w:hAnsi="Times New Roman" w:eastAsia="仿宋" w:cs="Times New Roman"/>
          <w:sz w:val="24"/>
          <w:szCs w:val="24"/>
          <w:highlight w:val="none"/>
        </w:rPr>
        <w:t>1条第</w:t>
      </w:r>
      <w:r>
        <w:rPr>
          <w:rFonts w:hint="eastAsia" w:ascii="Times New Roman" w:hAnsi="Times New Roman" w:eastAsia="仿宋" w:cs="Times New Roman"/>
          <w:sz w:val="24"/>
          <w:szCs w:val="24"/>
        </w:rPr>
        <w:t>（1）款关于“投资”定义，</w:t>
      </w:r>
      <w:r>
        <w:rPr>
          <w:rFonts w:ascii="Times New Roman" w:hAnsi="Times New Roman" w:eastAsia="仿宋" w:cs="Times New Roman"/>
          <w:sz w:val="24"/>
          <w:szCs w:val="24"/>
        </w:rPr>
        <w:t>可获得中阿BIT</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条约保护。</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c</w:t>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参与当地</w:t>
      </w:r>
      <w:r>
        <w:rPr>
          <w:rFonts w:ascii="Times New Roman" w:hAnsi="Times New Roman" w:eastAsia="仿宋" w:cs="Times New Roman"/>
          <w:sz w:val="24"/>
          <w:szCs w:val="24"/>
        </w:rPr>
        <w:t>特许经营权项目</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阿塞拜疆基础设施建设模式的主要类型为BOT。2016年，阿塞拜疆颁布《建设和基础设施投资项目专项融资实施办法》，对在阿塞拜疆实施基础设施建设项目进行立法规定。目前，在阿塞拜疆开展BOT的项目主要涉及铁路、油气、电力、通信等领域。特许经营年限一般为15-20年。但目前尚未有中资企业在阿塞拜疆参与实施PPP项目</w:t>
      </w:r>
      <w:r>
        <w:rPr>
          <w:rStyle w:val="18"/>
          <w:rFonts w:ascii="Times New Roman" w:hAnsi="Times New Roman" w:eastAsia="仿宋" w:cs="Times New Roman"/>
          <w:sz w:val="24"/>
          <w:szCs w:val="24"/>
        </w:rPr>
        <w:footnoteReference w:id="5"/>
      </w:r>
      <w:r>
        <w:rPr>
          <w:rFonts w:hint="eastAsia" w:ascii="Times New Roman" w:hAnsi="Times New Roman" w:eastAsia="仿宋" w:cs="Times New Roman"/>
          <w:sz w:val="24"/>
          <w:szCs w:val="24"/>
        </w:rPr>
        <w:t>。未来若有我国承包商参与阿塞拜疆境内PPP项目的合作，则根据中阿BIT</w:t>
      </w:r>
      <w:r>
        <w:rPr>
          <w:rFonts w:hint="eastAsia" w:ascii="Times New Roman" w:hAnsi="Times New Roman" w:eastAsia="仿宋" w:cs="Times New Roman"/>
          <w:sz w:val="24"/>
          <w:szCs w:val="24"/>
          <w:highlight w:val="none"/>
        </w:rPr>
        <w:t>第1条第</w:t>
      </w:r>
      <w:r>
        <w:rPr>
          <w:rFonts w:hint="eastAsia" w:ascii="Times New Roman" w:hAnsi="Times New Roman" w:eastAsia="仿宋" w:cs="Times New Roman"/>
          <w:sz w:val="24"/>
          <w:szCs w:val="24"/>
        </w:rPr>
        <w:t>（1）款规定，此类投资项目亦属于</w:t>
      </w:r>
      <w:r>
        <w:rPr>
          <w:rFonts w:ascii="Times New Roman" w:hAnsi="Times New Roman" w:eastAsia="仿宋" w:cs="Times New Roman"/>
          <w:sz w:val="24"/>
          <w:szCs w:val="24"/>
        </w:rPr>
        <w:t>中阿BIT</w:t>
      </w:r>
      <w:r>
        <w:rPr>
          <w:rFonts w:hint="eastAsia" w:ascii="Times New Roman" w:hAnsi="Times New Roman" w:eastAsia="仿宋" w:cs="Times New Roman"/>
          <w:sz w:val="24"/>
          <w:szCs w:val="24"/>
        </w:rPr>
        <w:t>定义</w:t>
      </w:r>
      <w:r>
        <w:rPr>
          <w:rFonts w:ascii="Times New Roman" w:hAnsi="Times New Roman" w:eastAsia="仿宋" w:cs="Times New Roman"/>
          <w:sz w:val="24"/>
          <w:szCs w:val="24"/>
        </w:rPr>
        <w:t>的</w:t>
      </w:r>
      <w:r>
        <w:rPr>
          <w:rFonts w:hint="eastAsia" w:ascii="Times New Roman" w:hAnsi="Times New Roman" w:eastAsia="仿宋" w:cs="Times New Roman"/>
          <w:sz w:val="24"/>
          <w:szCs w:val="24"/>
        </w:rPr>
        <w:t>“投资”。</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w:t>
      </w:r>
      <w:r>
        <w:rPr>
          <w:rFonts w:hint="eastAsia" w:ascii="Times New Roman" w:hAnsi="Times New Roman" w:eastAsia="仿宋" w:cs="Times New Roman"/>
          <w:sz w:val="24"/>
          <w:szCs w:val="24"/>
        </w:rPr>
        <w:t>2</w:t>
      </w:r>
      <w:r>
        <w:rPr>
          <w:rFonts w:ascii="Times New Roman" w:hAnsi="Times New Roman" w:eastAsia="仿宋" w:cs="Times New Roman"/>
          <w:sz w:val="24"/>
          <w:szCs w:val="24"/>
        </w:rPr>
        <w:t>）</w:t>
      </w:r>
      <w:r>
        <w:rPr>
          <w:rFonts w:hint="eastAsia" w:ascii="Times New Roman" w:hAnsi="Times New Roman" w:eastAsia="仿宋" w:cs="Times New Roman"/>
          <w:sz w:val="24"/>
          <w:szCs w:val="24"/>
        </w:rPr>
        <w:t>我国金融机构提供的</w:t>
      </w:r>
      <w:r>
        <w:rPr>
          <w:rFonts w:ascii="Times New Roman" w:hAnsi="Times New Roman" w:eastAsia="仿宋" w:cs="Times New Roman"/>
          <w:sz w:val="24"/>
          <w:szCs w:val="24"/>
        </w:rPr>
        <w:t>贷款</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阿塞拜疆允许外国投资者在阿塞拜疆进内开设银行账户及申请贷款，但目前在阿塞拜疆没有中资银行，且</w:t>
      </w:r>
      <w:r>
        <w:rPr>
          <w:rFonts w:ascii="Times New Roman" w:hAnsi="Times New Roman" w:eastAsia="仿宋" w:cs="Times New Roman"/>
          <w:sz w:val="24"/>
          <w:szCs w:val="24"/>
        </w:rPr>
        <w:t>阿塞拜疆商业银行贷款利率高，中国企业一般不在阿塞拜疆商业银行举债</w:t>
      </w:r>
      <w:r>
        <w:rPr>
          <w:rStyle w:val="18"/>
          <w:rFonts w:ascii="Times New Roman" w:hAnsi="Times New Roman" w:eastAsia="仿宋" w:cs="Times New Roman"/>
          <w:sz w:val="24"/>
          <w:szCs w:val="24"/>
        </w:rPr>
        <w:footnoteReference w:id="6"/>
      </w:r>
      <w:r>
        <w:rPr>
          <w:rFonts w:hint="eastAsia" w:ascii="Times New Roman" w:hAnsi="Times New Roman" w:eastAsia="仿宋" w:cs="Times New Roman"/>
          <w:sz w:val="24"/>
          <w:szCs w:val="24"/>
        </w:rPr>
        <w:t>；为满足在阿塞拜疆境内投资的融资需求，我国投资者可能需要向我国政策性或商业性金融机构申请政策性贷款或商业贷款。</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笔者认为，</w:t>
      </w:r>
      <w:r>
        <w:rPr>
          <w:rFonts w:ascii="Times New Roman" w:hAnsi="Times New Roman" w:eastAsia="仿宋" w:cs="Times New Roman"/>
          <w:sz w:val="24"/>
          <w:szCs w:val="24"/>
        </w:rPr>
        <w:t>就我国金融机构对阿塞拜疆境内的公司发放的贷款，贷款放款完成</w:t>
      </w:r>
      <w:r>
        <w:rPr>
          <w:rFonts w:hint="eastAsia" w:ascii="Times New Roman" w:hAnsi="Times New Roman" w:eastAsia="仿宋" w:cs="Times New Roman"/>
          <w:sz w:val="24"/>
          <w:szCs w:val="24"/>
        </w:rPr>
        <w:t>之</w:t>
      </w:r>
      <w:r>
        <w:rPr>
          <w:rFonts w:ascii="Times New Roman" w:hAnsi="Times New Roman" w:eastAsia="仿宋" w:cs="Times New Roman"/>
          <w:sz w:val="24"/>
          <w:szCs w:val="24"/>
        </w:rPr>
        <w:t>后，贷款人即对借款人享有金钱请求权</w:t>
      </w:r>
      <w:r>
        <w:rPr>
          <w:rFonts w:hint="eastAsia" w:ascii="Times New Roman" w:hAnsi="Times New Roman" w:eastAsia="仿宋" w:cs="Times New Roman"/>
          <w:sz w:val="24"/>
          <w:szCs w:val="24"/>
        </w:rPr>
        <w:t>。</w:t>
      </w:r>
      <w:r>
        <w:rPr>
          <w:rFonts w:ascii="Times New Roman" w:hAnsi="Times New Roman" w:eastAsia="仿宋" w:cs="Times New Roman"/>
          <w:sz w:val="24"/>
          <w:szCs w:val="24"/>
        </w:rPr>
        <w:t>因此，从中阿BIT</w:t>
      </w:r>
      <w:r>
        <w:rPr>
          <w:rFonts w:hint="eastAsia" w:ascii="Times New Roman" w:hAnsi="Times New Roman" w:eastAsia="仿宋" w:cs="Times New Roman"/>
          <w:sz w:val="24"/>
          <w:szCs w:val="24"/>
        </w:rPr>
        <w:t>第1条</w:t>
      </w:r>
      <w:r>
        <w:rPr>
          <w:rFonts w:ascii="Times New Roman" w:hAnsi="Times New Roman" w:eastAsia="仿宋" w:cs="Times New Roman"/>
          <w:sz w:val="24"/>
          <w:szCs w:val="24"/>
        </w:rPr>
        <w:t>的文义理解，在不违反阿塞拜疆相关法律法规前提下，我国银行等金融机构对阿塞拜疆公司或企业的“贷款”属于中阿BIT下的投资。</w:t>
      </w:r>
    </w:p>
    <w:p>
      <w:pPr>
        <w:spacing w:line="360" w:lineRule="auto"/>
        <w:ind w:firstLine="480" w:firstLineChars="200"/>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（三）外资的待遇</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根据中阿BIT</w:t>
      </w:r>
      <w:r>
        <w:rPr>
          <w:rFonts w:ascii="Times New Roman" w:hAnsi="Times New Roman" w:eastAsia="仿宋" w:cs="Times New Roman"/>
          <w:sz w:val="24"/>
          <w:szCs w:val="24"/>
          <w:highlight w:val="none"/>
        </w:rPr>
        <w:t>第3条第</w:t>
      </w:r>
      <w:r>
        <w:rPr>
          <w:rFonts w:ascii="Times New Roman" w:hAnsi="Times New Roman" w:eastAsia="仿宋" w:cs="Times New Roman"/>
          <w:sz w:val="24"/>
          <w:szCs w:val="24"/>
        </w:rPr>
        <w:t>（1）款规定，我国投资者在阿塞拜疆领土内的投资与投资有关的活动应受到</w:t>
      </w:r>
      <w:r>
        <w:rPr>
          <w:rFonts w:hint="eastAsia" w:ascii="Times New Roman" w:hAnsi="Times New Roman" w:eastAsia="仿宋" w:cs="Times New Roman"/>
          <w:sz w:val="24"/>
          <w:szCs w:val="24"/>
        </w:rPr>
        <w:t>公正与公平的待遇和保护</w:t>
      </w:r>
      <w:r>
        <w:rPr>
          <w:rFonts w:ascii="Times New Roman" w:hAnsi="Times New Roman" w:eastAsia="仿宋" w:cs="Times New Roman"/>
          <w:sz w:val="24"/>
          <w:szCs w:val="24"/>
        </w:rPr>
        <w:t>。</w:t>
      </w:r>
      <w:r>
        <w:rPr>
          <w:rFonts w:hint="eastAsia" w:ascii="Times New Roman" w:hAnsi="Times New Roman" w:eastAsia="仿宋" w:cs="Times New Roman"/>
          <w:sz w:val="24"/>
          <w:szCs w:val="24"/>
        </w:rPr>
        <w:t>阿塞拜疆《</w:t>
      </w:r>
      <w:r>
        <w:rPr>
          <w:rFonts w:hint="eastAsia" w:ascii="Times New Roman" w:hAnsi="Times New Roman" w:eastAsia="仿宋" w:cs="Times New Roman"/>
          <w:bCs/>
          <w:sz w:val="24"/>
          <w:szCs w:val="24"/>
        </w:rPr>
        <w:t>外商投资保护法</w:t>
      </w:r>
      <w:r>
        <w:rPr>
          <w:rFonts w:hint="eastAsia" w:ascii="Times New Roman" w:hAnsi="Times New Roman" w:eastAsia="仿宋" w:cs="Times New Roman"/>
          <w:sz w:val="24"/>
          <w:szCs w:val="24"/>
        </w:rPr>
        <w:t>》第第5条进一步规定，外国投资者活动中享受的权利待遇不应低于阿塞拜疆法人和公民的财产权以及投资经营的待遇，对在国民经济优先部门以及个别地区的投资可按阿塞拜疆法律给予税收</w:t>
      </w:r>
      <w:r>
        <w:rPr>
          <w:rFonts w:hint="eastAsia" w:ascii="Times New Roman" w:hAnsi="Times New Roman" w:eastAsia="仿宋" w:cs="Times New Roman"/>
          <w:sz w:val="24"/>
          <w:szCs w:val="24"/>
          <w:highlight w:val="none"/>
        </w:rPr>
        <w:t>及其它</w:t>
      </w:r>
      <w:r>
        <w:rPr>
          <w:rFonts w:hint="eastAsia" w:ascii="Times New Roman" w:hAnsi="Times New Roman" w:eastAsia="仿宋" w:cs="Times New Roman"/>
          <w:sz w:val="24"/>
          <w:szCs w:val="24"/>
        </w:rPr>
        <w:t>优惠。</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根据中阿BIT</w:t>
      </w:r>
      <w:r>
        <w:rPr>
          <w:rFonts w:ascii="Times New Roman" w:hAnsi="Times New Roman" w:eastAsia="仿宋" w:cs="Times New Roman"/>
          <w:sz w:val="24"/>
          <w:szCs w:val="24"/>
          <w:highlight w:val="none"/>
        </w:rPr>
        <w:t>第3条第</w:t>
      </w:r>
      <w:r>
        <w:rPr>
          <w:rFonts w:ascii="Times New Roman" w:hAnsi="Times New Roman" w:eastAsia="仿宋" w:cs="Times New Roman"/>
          <w:sz w:val="24"/>
          <w:szCs w:val="24"/>
        </w:rPr>
        <w:t>（2）款规定，中阿BIT</w:t>
      </w:r>
      <w:r>
        <w:rPr>
          <w:rFonts w:ascii="Times New Roman" w:hAnsi="Times New Roman" w:eastAsia="仿宋" w:cs="Times New Roman"/>
          <w:sz w:val="24"/>
          <w:szCs w:val="24"/>
          <w:highlight w:val="none"/>
        </w:rPr>
        <w:t>第3条第</w:t>
      </w:r>
      <w:r>
        <w:rPr>
          <w:rFonts w:ascii="Times New Roman" w:hAnsi="Times New Roman" w:eastAsia="仿宋" w:cs="Times New Roman"/>
          <w:sz w:val="24"/>
          <w:szCs w:val="24"/>
        </w:rPr>
        <w:t>（1）款所述的待遇</w:t>
      </w:r>
      <w:r>
        <w:rPr>
          <w:rFonts w:hint="eastAsia" w:ascii="Times New Roman" w:hAnsi="Times New Roman" w:eastAsia="仿宋" w:cs="Times New Roman"/>
          <w:sz w:val="24"/>
          <w:szCs w:val="24"/>
        </w:rPr>
        <w:t>和保护</w:t>
      </w:r>
      <w:r>
        <w:rPr>
          <w:rFonts w:ascii="Times New Roman" w:hAnsi="Times New Roman" w:eastAsia="仿宋" w:cs="Times New Roman"/>
          <w:sz w:val="24"/>
          <w:szCs w:val="24"/>
        </w:rPr>
        <w:t>应不低于阿塞拜疆给予任何第三国投资者的</w:t>
      </w:r>
      <w:r>
        <w:rPr>
          <w:rFonts w:hint="eastAsia" w:ascii="Times New Roman" w:hAnsi="Times New Roman" w:eastAsia="仿宋" w:cs="Times New Roman"/>
          <w:sz w:val="24"/>
          <w:szCs w:val="24"/>
        </w:rPr>
        <w:t>投资及与投资有关的活动的待遇和保护</w:t>
      </w:r>
      <w:r>
        <w:rPr>
          <w:rFonts w:ascii="Times New Roman" w:hAnsi="Times New Roman" w:eastAsia="仿宋" w:cs="Times New Roman"/>
          <w:sz w:val="24"/>
          <w:szCs w:val="24"/>
        </w:rPr>
        <w:t>，即</w:t>
      </w:r>
      <w:r>
        <w:rPr>
          <w:rFonts w:hint="eastAsia" w:ascii="Times New Roman" w:hAnsi="Times New Roman" w:eastAsia="仿宋" w:cs="Times New Roman"/>
          <w:sz w:val="24"/>
          <w:szCs w:val="24"/>
        </w:rPr>
        <w:t>我国投资者在阿塞拜疆享有</w:t>
      </w:r>
      <w:r>
        <w:rPr>
          <w:rFonts w:ascii="Times New Roman" w:hAnsi="Times New Roman" w:eastAsia="仿宋" w:cs="Times New Roman"/>
          <w:sz w:val="24"/>
          <w:szCs w:val="24"/>
        </w:rPr>
        <w:t>最惠国待遇</w:t>
      </w:r>
      <w:r>
        <w:rPr>
          <w:rFonts w:hint="eastAsia" w:ascii="Times New Roman" w:hAnsi="Times New Roman" w:eastAsia="仿宋" w:cs="Times New Roman"/>
          <w:sz w:val="24"/>
          <w:szCs w:val="24"/>
        </w:rPr>
        <w:t>。</w:t>
      </w:r>
      <w:r>
        <w:rPr>
          <w:rFonts w:ascii="Times New Roman" w:hAnsi="Times New Roman" w:eastAsia="仿宋" w:cs="Times New Roman"/>
          <w:sz w:val="24"/>
          <w:szCs w:val="24"/>
        </w:rPr>
        <w:t>中阿BIT</w:t>
      </w:r>
      <w:r>
        <w:rPr>
          <w:rFonts w:ascii="Times New Roman" w:hAnsi="Times New Roman" w:eastAsia="仿宋" w:cs="Times New Roman"/>
          <w:sz w:val="24"/>
          <w:szCs w:val="24"/>
          <w:highlight w:val="none"/>
        </w:rPr>
        <w:t>第3条第</w:t>
      </w:r>
      <w:r>
        <w:rPr>
          <w:rFonts w:ascii="Times New Roman" w:hAnsi="Times New Roman" w:eastAsia="仿宋" w:cs="Times New Roman"/>
          <w:sz w:val="24"/>
          <w:szCs w:val="24"/>
        </w:rPr>
        <w:t>（3）款规定的最惠国待遇的例外包括</w:t>
      </w:r>
      <w:r>
        <w:rPr>
          <w:rFonts w:hint="eastAsia" w:ascii="Times New Roman" w:hAnsi="Times New Roman" w:eastAsia="仿宋" w:cs="Times New Roman"/>
          <w:sz w:val="24"/>
          <w:szCs w:val="24"/>
        </w:rPr>
        <w:t>阿塞拜疆</w:t>
      </w:r>
      <w:r>
        <w:rPr>
          <w:rFonts w:ascii="Times New Roman" w:hAnsi="Times New Roman" w:eastAsia="仿宋" w:cs="Times New Roman"/>
          <w:sz w:val="24"/>
          <w:szCs w:val="24"/>
        </w:rPr>
        <w:t>依照</w:t>
      </w:r>
      <w:r>
        <w:rPr>
          <w:rFonts w:hint="eastAsia" w:ascii="Times New Roman" w:hAnsi="Times New Roman" w:eastAsia="仿宋" w:cs="Times New Roman"/>
          <w:sz w:val="24"/>
          <w:szCs w:val="24"/>
        </w:rPr>
        <w:t>关税同盟、自由贸易区、经济联盟、避免双重征税协定和为了方便边境贸易而给予第三国投资者的投资的任何优惠待遇</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根据中阿</w:t>
      </w:r>
      <w:r>
        <w:rPr>
          <w:rFonts w:ascii="Times New Roman" w:hAnsi="Times New Roman" w:eastAsia="仿宋" w:cs="Times New Roman"/>
          <w:sz w:val="24"/>
          <w:szCs w:val="24"/>
        </w:rPr>
        <w:t>BIT</w:t>
      </w:r>
      <w:r>
        <w:rPr>
          <w:rFonts w:hint="eastAsia" w:ascii="Times New Roman" w:hAnsi="Times New Roman" w:eastAsia="仿宋" w:cs="Times New Roman"/>
          <w:sz w:val="24"/>
          <w:szCs w:val="24"/>
          <w:highlight w:val="none"/>
        </w:rPr>
        <w:t>第</w:t>
      </w:r>
      <w:r>
        <w:rPr>
          <w:rFonts w:ascii="Times New Roman" w:hAnsi="Times New Roman" w:eastAsia="仿宋" w:cs="Times New Roman"/>
          <w:sz w:val="24"/>
          <w:szCs w:val="24"/>
          <w:highlight w:val="none"/>
        </w:rPr>
        <w:t>9</w:t>
      </w:r>
      <w:r>
        <w:rPr>
          <w:rFonts w:hint="eastAsia" w:ascii="Times New Roman" w:hAnsi="Times New Roman" w:eastAsia="仿宋" w:cs="Times New Roman"/>
          <w:sz w:val="24"/>
          <w:szCs w:val="24"/>
          <w:highlight w:val="none"/>
        </w:rPr>
        <w:t>条规定</w:t>
      </w:r>
      <w:r>
        <w:rPr>
          <w:rFonts w:hint="eastAsia" w:ascii="Times New Roman" w:hAnsi="Times New Roman" w:eastAsia="仿宋" w:cs="Times New Roman"/>
          <w:sz w:val="24"/>
          <w:szCs w:val="24"/>
        </w:rPr>
        <w:t>，如果阿塞拜疆根据其法律和法规给予我国投资者的投资或与投资有关的活动的待遇较中阿</w:t>
      </w:r>
      <w:r>
        <w:rPr>
          <w:rFonts w:ascii="Times New Roman" w:hAnsi="Times New Roman" w:eastAsia="仿宋" w:cs="Times New Roman"/>
          <w:sz w:val="24"/>
          <w:szCs w:val="24"/>
        </w:rPr>
        <w:t>BIT</w:t>
      </w:r>
      <w:r>
        <w:rPr>
          <w:rFonts w:hint="eastAsia" w:ascii="Times New Roman" w:hAnsi="Times New Roman" w:eastAsia="仿宋" w:cs="Times New Roman"/>
          <w:sz w:val="24"/>
          <w:szCs w:val="24"/>
        </w:rPr>
        <w:t>的规定更为优惠，则应从优适用。因此，我国投资者应注重考察阿塞拜疆国内法律法规中关于外国投资的规定。阿塞拜疆境内与外国投资相关的法律主要包括</w:t>
      </w:r>
      <w:r>
        <w:rPr>
          <w:rFonts w:ascii="Times New Roman" w:hAnsi="Times New Roman" w:eastAsia="仿宋" w:cs="Times New Roman"/>
          <w:sz w:val="24"/>
          <w:szCs w:val="24"/>
        </w:rPr>
        <w:t>《</w:t>
      </w:r>
      <w:r>
        <w:rPr>
          <w:rFonts w:hint="eastAsia" w:ascii="Times New Roman" w:hAnsi="Times New Roman" w:eastAsia="仿宋" w:cs="Times New Roman"/>
          <w:bCs/>
          <w:sz w:val="24"/>
          <w:szCs w:val="24"/>
        </w:rPr>
        <w:t>外商投资保护法</w:t>
      </w:r>
      <w:r>
        <w:rPr>
          <w:rFonts w:hint="eastAsia" w:ascii="Times New Roman" w:hAnsi="Times New Roman" w:eastAsia="仿宋" w:cs="Times New Roman"/>
          <w:sz w:val="24"/>
          <w:szCs w:val="24"/>
        </w:rPr>
        <w:t>》、</w:t>
      </w:r>
      <w:r>
        <w:rPr>
          <w:rFonts w:hint="eastAsia" w:ascii="Times New Roman" w:hAnsi="Times New Roman" w:eastAsia="仿宋" w:cs="Times New Roman"/>
          <w:sz w:val="24"/>
          <w:szCs w:val="24"/>
          <w:lang w:val="zh-Hans"/>
        </w:rPr>
        <w:t>《投资活动法》</w:t>
      </w:r>
      <w:r>
        <w:rPr>
          <w:rFonts w:hint="eastAsia" w:ascii="Times New Roman" w:hAnsi="Times New Roman" w:eastAsia="仿宋" w:cs="Times New Roman"/>
          <w:sz w:val="24"/>
          <w:szCs w:val="24"/>
        </w:rPr>
        <w:t>、《企业经营法》、《民法》等。</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阿塞拜疆</w:t>
      </w:r>
      <w:r>
        <w:rPr>
          <w:rFonts w:ascii="Times New Roman" w:hAnsi="Times New Roman" w:eastAsia="仿宋" w:cs="Times New Roman"/>
          <w:sz w:val="24"/>
          <w:szCs w:val="24"/>
        </w:rPr>
        <w:t>《</w:t>
      </w:r>
      <w:r>
        <w:rPr>
          <w:rFonts w:hint="eastAsia" w:ascii="Times New Roman" w:hAnsi="Times New Roman" w:eastAsia="仿宋" w:cs="Times New Roman"/>
          <w:bCs/>
          <w:sz w:val="24"/>
          <w:szCs w:val="24"/>
        </w:rPr>
        <w:t>外商投资保护法</w:t>
      </w:r>
      <w:r>
        <w:rPr>
          <w:rFonts w:ascii="Times New Roman" w:hAnsi="Times New Roman" w:eastAsia="仿宋" w:cs="Times New Roman"/>
          <w:sz w:val="24"/>
          <w:szCs w:val="24"/>
        </w:rPr>
        <w:t>》</w:t>
      </w:r>
      <w:r>
        <w:rPr>
          <w:rFonts w:hint="eastAsia" w:ascii="Times New Roman" w:hAnsi="Times New Roman" w:eastAsia="仿宋" w:cs="Times New Roman"/>
          <w:sz w:val="24"/>
          <w:szCs w:val="24"/>
        </w:rPr>
        <w:t>虽未对限制外国投资的行业做明确规定，但在外资进入其部分行业的市场准入方面仍存在一定限制，例如，外资在阿塞拜疆境内禁止投资入股电视广播公司；外资</w:t>
      </w:r>
      <w:r>
        <w:rPr>
          <w:rFonts w:hint="eastAsia" w:ascii="Times New Roman" w:hAnsi="Times New Roman" w:eastAsia="仿宋" w:cs="Times New Roman"/>
          <w:sz w:val="24"/>
          <w:szCs w:val="24"/>
          <w:highlight w:val="none"/>
        </w:rPr>
        <w:t>在</w:t>
      </w:r>
      <w:r>
        <w:rPr>
          <w:rFonts w:hint="eastAsia" w:ascii="Times New Roman" w:hAnsi="Times New Roman" w:eastAsia="仿宋" w:cs="Times New Roman"/>
          <w:sz w:val="24"/>
          <w:szCs w:val="24"/>
        </w:rPr>
        <w:t>保险公司、采矿、石油和天然气、卫星通信和军事武器等行业持有的公司股份不得超过</w:t>
      </w:r>
      <w:r>
        <w:rPr>
          <w:rFonts w:ascii="Times New Roman" w:hAnsi="Times New Roman" w:eastAsia="仿宋" w:cs="Times New Roman"/>
          <w:sz w:val="24"/>
          <w:szCs w:val="24"/>
        </w:rPr>
        <w:t>49%</w:t>
      </w:r>
      <w:r>
        <w:rPr>
          <w:rFonts w:hint="eastAsia" w:ascii="Times New Roman" w:hAnsi="Times New Roman" w:eastAsia="仿宋" w:cs="Times New Roman"/>
          <w:sz w:val="24"/>
          <w:szCs w:val="24"/>
        </w:rPr>
        <w:t>，在报纸出版业中持有的公司股份不得超过33%</w:t>
      </w:r>
      <w:r>
        <w:rPr>
          <w:rStyle w:val="18"/>
          <w:rFonts w:ascii="Times New Roman" w:hAnsi="Times New Roman" w:eastAsia="仿宋" w:cs="Times New Roman"/>
          <w:sz w:val="24"/>
          <w:szCs w:val="24"/>
        </w:rPr>
        <w:footnoteReference w:id="7"/>
      </w:r>
      <w:r>
        <w:rPr>
          <w:rFonts w:hint="eastAsia" w:ascii="Times New Roman" w:hAnsi="Times New Roman" w:eastAsia="仿宋" w:cs="Times New Roman"/>
          <w:sz w:val="24"/>
          <w:szCs w:val="24"/>
        </w:rPr>
        <w:t>。</w:t>
      </w: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（四）征收</w:t>
      </w:r>
      <w:r>
        <w:rPr>
          <w:rFonts w:hint="eastAsia" w:ascii="Times New Roman" w:hAnsi="Times New Roman" w:eastAsia="仿宋" w:cs="Times New Roman"/>
          <w:sz w:val="24"/>
          <w:szCs w:val="24"/>
        </w:rPr>
        <w:t>或</w:t>
      </w:r>
      <w:r>
        <w:rPr>
          <w:rFonts w:ascii="Times New Roman" w:hAnsi="Times New Roman" w:eastAsia="仿宋" w:cs="Times New Roman"/>
          <w:sz w:val="24"/>
          <w:szCs w:val="24"/>
        </w:rPr>
        <w:t>国有化</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根据中阿BIT</w:t>
      </w:r>
      <w:r>
        <w:rPr>
          <w:rFonts w:ascii="Times New Roman" w:hAnsi="Times New Roman" w:eastAsia="仿宋" w:cs="Times New Roman"/>
          <w:sz w:val="24"/>
          <w:szCs w:val="24"/>
          <w:highlight w:val="none"/>
        </w:rPr>
        <w:t>第4条规定</w:t>
      </w:r>
      <w:r>
        <w:rPr>
          <w:rFonts w:ascii="Times New Roman" w:hAnsi="Times New Roman" w:eastAsia="仿宋" w:cs="Times New Roman"/>
          <w:sz w:val="24"/>
          <w:szCs w:val="24"/>
        </w:rPr>
        <w:t>，阿塞拜疆对我国投资者在其领土内的投资不得采取征收</w:t>
      </w:r>
      <w:r>
        <w:rPr>
          <w:rFonts w:hint="eastAsia" w:ascii="Times New Roman" w:hAnsi="Times New Roman" w:eastAsia="仿宋" w:cs="Times New Roman"/>
          <w:sz w:val="24"/>
          <w:szCs w:val="24"/>
        </w:rPr>
        <w:t>、</w:t>
      </w:r>
      <w:r>
        <w:rPr>
          <w:rFonts w:ascii="Times New Roman" w:hAnsi="Times New Roman" w:eastAsia="仿宋" w:cs="Times New Roman"/>
          <w:sz w:val="24"/>
          <w:szCs w:val="24"/>
        </w:rPr>
        <w:t>国有化</w:t>
      </w:r>
      <w:r>
        <w:rPr>
          <w:rFonts w:hint="eastAsia" w:ascii="Times New Roman" w:hAnsi="Times New Roman" w:eastAsia="仿宋" w:cs="Times New Roman"/>
          <w:sz w:val="24"/>
          <w:szCs w:val="24"/>
        </w:rPr>
        <w:t>或其他类似措施，除非符合</w:t>
      </w:r>
      <w:r>
        <w:rPr>
          <w:rFonts w:ascii="Times New Roman" w:hAnsi="Times New Roman" w:eastAsia="仿宋" w:cs="Times New Roman"/>
          <w:sz w:val="24"/>
          <w:szCs w:val="24"/>
        </w:rPr>
        <w:t>“为了社会公共利益”、“</w:t>
      </w:r>
      <w:r>
        <w:rPr>
          <w:rFonts w:hint="eastAsia" w:ascii="Times New Roman" w:hAnsi="Times New Roman" w:eastAsia="仿宋" w:cs="Times New Roman"/>
          <w:sz w:val="24"/>
          <w:szCs w:val="24"/>
        </w:rPr>
        <w:t>依照国内法律程序</w:t>
      </w:r>
      <w:r>
        <w:rPr>
          <w:rFonts w:ascii="Times New Roman" w:hAnsi="Times New Roman" w:eastAsia="仿宋" w:cs="Times New Roman"/>
          <w:sz w:val="24"/>
          <w:szCs w:val="24"/>
        </w:rPr>
        <w:t>”、“</w:t>
      </w:r>
      <w:r>
        <w:rPr>
          <w:rFonts w:hint="eastAsia" w:ascii="Times New Roman" w:hAnsi="Times New Roman" w:eastAsia="仿宋" w:cs="Times New Roman"/>
          <w:sz w:val="24"/>
          <w:szCs w:val="24"/>
        </w:rPr>
        <w:t>非歧视性的</w:t>
      </w:r>
      <w:r>
        <w:rPr>
          <w:rFonts w:ascii="Times New Roman" w:hAnsi="Times New Roman" w:eastAsia="仿宋" w:cs="Times New Roman"/>
          <w:sz w:val="24"/>
          <w:szCs w:val="24"/>
        </w:rPr>
        <w:t>”</w:t>
      </w:r>
      <w:r>
        <w:rPr>
          <w:rFonts w:hint="eastAsia" w:ascii="Times New Roman" w:hAnsi="Times New Roman" w:eastAsia="仿宋" w:cs="Times New Roman"/>
          <w:sz w:val="24"/>
          <w:szCs w:val="24"/>
        </w:rPr>
        <w:t>和</w:t>
      </w:r>
      <w:r>
        <w:rPr>
          <w:rFonts w:ascii="Times New Roman" w:hAnsi="Times New Roman" w:eastAsia="仿宋" w:cs="Times New Roman"/>
          <w:sz w:val="24"/>
          <w:szCs w:val="24"/>
        </w:rPr>
        <w:t>“给予补偿”四个条件。</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若特殊情况下阿塞拜疆对我国投资者采取征收</w:t>
      </w:r>
      <w:r>
        <w:rPr>
          <w:rFonts w:hint="eastAsia" w:ascii="Times New Roman" w:hAnsi="Times New Roman" w:eastAsia="仿宋" w:cs="Times New Roman"/>
          <w:sz w:val="24"/>
          <w:szCs w:val="24"/>
        </w:rPr>
        <w:t>或国有化</w:t>
      </w:r>
      <w:r>
        <w:rPr>
          <w:rFonts w:ascii="Times New Roman" w:hAnsi="Times New Roman" w:eastAsia="仿宋" w:cs="Times New Roman"/>
          <w:sz w:val="24"/>
          <w:szCs w:val="24"/>
        </w:rPr>
        <w:t>措施的，则</w:t>
      </w:r>
      <w:r>
        <w:rPr>
          <w:rFonts w:hint="eastAsia" w:ascii="Times New Roman" w:hAnsi="Times New Roman" w:eastAsia="仿宋" w:cs="Times New Roman"/>
          <w:sz w:val="24"/>
          <w:szCs w:val="24"/>
        </w:rPr>
        <w:t>采取征收或国有化措施的政府部门</w:t>
      </w:r>
      <w:r>
        <w:rPr>
          <w:rFonts w:ascii="Times New Roman" w:hAnsi="Times New Roman" w:eastAsia="仿宋" w:cs="Times New Roman"/>
          <w:sz w:val="24"/>
          <w:szCs w:val="24"/>
        </w:rPr>
        <w:t>给予我国投资者的补偿应等于宣布征收时被征收的投资财产的价值</w:t>
      </w:r>
      <w:bookmarkStart w:id="11" w:name="No31_T4K3"/>
      <w:bookmarkEnd w:id="11"/>
      <w:r>
        <w:rPr>
          <w:rFonts w:ascii="Times New Roman" w:hAnsi="Times New Roman" w:eastAsia="仿宋" w:cs="Times New Roman"/>
          <w:sz w:val="24"/>
          <w:szCs w:val="24"/>
        </w:rPr>
        <w:t>；</w:t>
      </w:r>
      <w:r>
        <w:rPr>
          <w:rFonts w:hint="eastAsia" w:ascii="Times New Roman" w:hAnsi="Times New Roman" w:eastAsia="仿宋" w:cs="Times New Roman"/>
          <w:sz w:val="24"/>
          <w:szCs w:val="24"/>
        </w:rPr>
        <w:t>对投资者的</w:t>
      </w:r>
      <w:r>
        <w:rPr>
          <w:rFonts w:ascii="Times New Roman" w:hAnsi="Times New Roman" w:eastAsia="仿宋" w:cs="Times New Roman"/>
          <w:sz w:val="24"/>
          <w:szCs w:val="24"/>
        </w:rPr>
        <w:t>补偿应是可以兑换的和自由转移的；并且补偿的支付不应无故迟延。</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考察阿塞拜疆《</w:t>
      </w:r>
      <w:r>
        <w:rPr>
          <w:rFonts w:hint="eastAsia" w:ascii="Times New Roman" w:hAnsi="Times New Roman" w:eastAsia="仿宋" w:cs="Times New Roman"/>
          <w:sz w:val="24"/>
          <w:szCs w:val="24"/>
        </w:rPr>
        <w:t>外商投资保护法</w:t>
      </w:r>
      <w:r>
        <w:rPr>
          <w:rFonts w:ascii="Times New Roman" w:hAnsi="Times New Roman" w:eastAsia="仿宋" w:cs="Times New Roman"/>
          <w:sz w:val="24"/>
          <w:szCs w:val="24"/>
        </w:rPr>
        <w:t>》</w:t>
      </w:r>
      <w:r>
        <w:rPr>
          <w:rFonts w:ascii="Times New Roman" w:hAnsi="Times New Roman" w:eastAsia="仿宋" w:cs="Times New Roman"/>
          <w:sz w:val="24"/>
          <w:szCs w:val="24"/>
          <w:highlight w:val="none"/>
        </w:rPr>
        <w:t>第</w:t>
      </w:r>
      <w:r>
        <w:rPr>
          <w:rFonts w:hint="eastAsia" w:ascii="Times New Roman" w:hAnsi="Times New Roman" w:eastAsia="仿宋" w:cs="Times New Roman"/>
          <w:sz w:val="24"/>
          <w:szCs w:val="24"/>
          <w:highlight w:val="none"/>
        </w:rPr>
        <w:t>11</w:t>
      </w:r>
      <w:r>
        <w:rPr>
          <w:rFonts w:ascii="Times New Roman" w:hAnsi="Times New Roman" w:eastAsia="仿宋" w:cs="Times New Roman"/>
          <w:sz w:val="24"/>
          <w:szCs w:val="24"/>
          <w:highlight w:val="none"/>
        </w:rPr>
        <w:t>条</w:t>
      </w:r>
      <w:r>
        <w:rPr>
          <w:rFonts w:hint="eastAsia" w:ascii="Times New Roman" w:hAnsi="Times New Roman" w:eastAsia="仿宋" w:cs="Times New Roman"/>
          <w:sz w:val="24"/>
          <w:szCs w:val="24"/>
          <w:highlight w:val="none"/>
        </w:rPr>
        <w:t>规定</w:t>
      </w:r>
      <w:r>
        <w:rPr>
          <w:rFonts w:ascii="Times New Roman" w:hAnsi="Times New Roman" w:eastAsia="仿宋" w:cs="Times New Roman"/>
          <w:sz w:val="24"/>
          <w:szCs w:val="24"/>
        </w:rPr>
        <w:t>，</w:t>
      </w:r>
      <w:r>
        <w:rPr>
          <w:rFonts w:hint="eastAsia" w:ascii="Times New Roman" w:hAnsi="Times New Roman" w:eastAsia="仿宋" w:cs="Times New Roman"/>
          <w:sz w:val="24"/>
          <w:szCs w:val="24"/>
        </w:rPr>
        <w:t>除非发生给国家利益和人民带来损害的情况，否则在阿塞拜疆的外国投资不实行国有化；国有化决定由阿塞拜疆共和国最高议会作出。除非发生自然灾害、祸害、流行病、</w:t>
      </w:r>
      <w:r>
        <w:rPr>
          <w:rFonts w:hint="eastAsia" w:ascii="Times New Roman" w:hAnsi="Times New Roman" w:eastAsia="仿宋" w:cs="Times New Roman"/>
          <w:sz w:val="24"/>
          <w:szCs w:val="24"/>
          <w:highlight w:val="none"/>
        </w:rPr>
        <w:t>瘟疫</w:t>
      </w:r>
      <w:r>
        <w:rPr>
          <w:rFonts w:hint="eastAsia" w:ascii="Times New Roman" w:hAnsi="Times New Roman" w:eastAsia="仿宋" w:cs="Times New Roman"/>
          <w:sz w:val="24"/>
          <w:szCs w:val="24"/>
        </w:rPr>
        <w:t>等特殊情况，外国投资不得被征收；征收决定由阿塞拜疆共和国内阁作出。在国有化和征收时必须给予投资者及时、等值、有效的补偿；给外国投资者的赔偿应与作出国有化或征收决定时的实际价值相符，赔偿用外汇计价，可按投资者要求汇出境外。</w:t>
      </w:r>
    </w:p>
    <w:p>
      <w:pPr>
        <w:spacing w:line="360" w:lineRule="auto"/>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（五）损失赔偿</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根据中阿BIT</w:t>
      </w:r>
      <w:r>
        <w:rPr>
          <w:rFonts w:ascii="Times New Roman" w:hAnsi="Times New Roman" w:eastAsia="仿宋" w:cs="Times New Roman"/>
          <w:sz w:val="24"/>
          <w:szCs w:val="24"/>
          <w:highlight w:val="none"/>
        </w:rPr>
        <w:t>第</w:t>
      </w:r>
      <w:r>
        <w:rPr>
          <w:rFonts w:hint="eastAsia" w:ascii="Times New Roman" w:hAnsi="Times New Roman" w:eastAsia="仿宋" w:cs="Times New Roman"/>
          <w:sz w:val="24"/>
          <w:szCs w:val="24"/>
          <w:highlight w:val="none"/>
        </w:rPr>
        <w:t>5</w:t>
      </w:r>
      <w:r>
        <w:rPr>
          <w:rFonts w:ascii="Times New Roman" w:hAnsi="Times New Roman" w:eastAsia="仿宋" w:cs="Times New Roman"/>
          <w:sz w:val="24"/>
          <w:szCs w:val="24"/>
          <w:highlight w:val="none"/>
        </w:rPr>
        <w:t>条规定</w:t>
      </w:r>
      <w:r>
        <w:rPr>
          <w:rFonts w:ascii="Times New Roman" w:hAnsi="Times New Roman" w:eastAsia="仿宋" w:cs="Times New Roman"/>
          <w:sz w:val="24"/>
          <w:szCs w:val="24"/>
        </w:rPr>
        <w:t>，对于我国投资者在阿塞拜疆领土内的投资，</w:t>
      </w:r>
      <w:r>
        <w:rPr>
          <w:rFonts w:hint="eastAsia" w:ascii="Times New Roman" w:hAnsi="Times New Roman" w:eastAsia="仿宋" w:cs="Times New Roman"/>
          <w:sz w:val="24"/>
          <w:szCs w:val="24"/>
        </w:rPr>
        <w:t>如果由于战争、全国紧急状态、暴乱、骚乱或其他类似事件而遭受损失</w:t>
      </w:r>
      <w:r>
        <w:rPr>
          <w:rFonts w:ascii="Times New Roman" w:hAnsi="Times New Roman" w:eastAsia="仿宋" w:cs="Times New Roman"/>
          <w:sz w:val="24"/>
          <w:szCs w:val="24"/>
        </w:rPr>
        <w:t>，若阿塞拜疆采取有关措施，</w:t>
      </w:r>
      <w:r>
        <w:rPr>
          <w:rFonts w:hint="eastAsia" w:ascii="Times New Roman" w:hAnsi="Times New Roman" w:eastAsia="仿宋" w:cs="Times New Roman"/>
          <w:sz w:val="24"/>
          <w:szCs w:val="24"/>
        </w:rPr>
        <w:t>其给予该投资者的待遇不应低于给予任何第三国投资者的待遇</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rPr>
        <w:t>阿塞拜疆《外商投资保护法》</w:t>
      </w:r>
      <w:r>
        <w:rPr>
          <w:rFonts w:hint="eastAsia" w:ascii="Times New Roman" w:hAnsi="Times New Roman" w:eastAsia="仿宋" w:cs="Times New Roman"/>
          <w:sz w:val="24"/>
          <w:szCs w:val="24"/>
          <w:highlight w:val="none"/>
        </w:rPr>
        <w:t>第12条规定</w:t>
      </w:r>
      <w:r>
        <w:rPr>
          <w:rFonts w:hint="eastAsia" w:ascii="Times New Roman" w:hAnsi="Times New Roman" w:eastAsia="仿宋" w:cs="Times New Roman"/>
          <w:sz w:val="24"/>
          <w:szCs w:val="24"/>
        </w:rPr>
        <w:t>，如因阿塞拜疆国家机关或负责工作人员违背法律而给外国投资造成亏损，外国投资者有权要求赔偿，包括赔偿利益损失。赔偿损失的数额、期限和赔付程序的争议在阿塞拜疆国内法院解决。倘若双方协议另有规定或根据阿塞拜疆所缔结的国际条约提出申请，可通过仲裁庭对争议进行裁决。</w:t>
      </w:r>
    </w:p>
    <w:p>
      <w:pPr>
        <w:spacing w:line="360" w:lineRule="auto"/>
        <w:ind w:firstLine="480" w:firstLineChars="200"/>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（六）投资有关款项的转移</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根据中阿BIT</w:t>
      </w:r>
      <w:r>
        <w:rPr>
          <w:rFonts w:ascii="Times New Roman" w:hAnsi="Times New Roman" w:eastAsia="仿宋" w:cs="Times New Roman"/>
          <w:sz w:val="24"/>
          <w:szCs w:val="24"/>
          <w:highlight w:val="none"/>
        </w:rPr>
        <w:t>第</w:t>
      </w:r>
      <w:r>
        <w:rPr>
          <w:rFonts w:hint="eastAsia" w:ascii="Times New Roman" w:hAnsi="Times New Roman" w:eastAsia="仿宋" w:cs="Times New Roman"/>
          <w:sz w:val="24"/>
          <w:szCs w:val="24"/>
          <w:highlight w:val="none"/>
        </w:rPr>
        <w:t>6</w:t>
      </w:r>
      <w:r>
        <w:rPr>
          <w:rFonts w:ascii="Times New Roman" w:hAnsi="Times New Roman" w:eastAsia="仿宋" w:cs="Times New Roman"/>
          <w:sz w:val="24"/>
          <w:szCs w:val="24"/>
          <w:highlight w:val="none"/>
        </w:rPr>
        <w:t>条规定</w:t>
      </w:r>
      <w:r>
        <w:rPr>
          <w:rFonts w:ascii="Times New Roman" w:hAnsi="Times New Roman" w:eastAsia="仿宋" w:cs="Times New Roman"/>
          <w:sz w:val="24"/>
          <w:szCs w:val="24"/>
        </w:rPr>
        <w:t>，阿塞拜疆应在其法律和法规的管辖下，保证</w:t>
      </w:r>
      <w:r>
        <w:rPr>
          <w:rFonts w:hint="eastAsia" w:ascii="Times New Roman" w:hAnsi="Times New Roman" w:eastAsia="仿宋" w:cs="Times New Roman"/>
          <w:sz w:val="24"/>
          <w:szCs w:val="24"/>
        </w:rPr>
        <w:t>我国</w:t>
      </w:r>
      <w:r>
        <w:rPr>
          <w:rFonts w:ascii="Times New Roman" w:hAnsi="Times New Roman" w:eastAsia="仿宋" w:cs="Times New Roman"/>
          <w:sz w:val="24"/>
          <w:szCs w:val="24"/>
        </w:rPr>
        <w:t>投资者转移在其领土内的投资和收益，包括：</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（1）利润、股息、利息及其他合法收入；</w:t>
      </w:r>
    </w:p>
    <w:p>
      <w:pPr>
        <w:spacing w:line="360" w:lineRule="auto"/>
        <w:ind w:firstLine="480" w:firstLineChars="200"/>
        <w:rPr>
          <w:rFonts w:ascii="Times New Roman" w:hAnsi="Times New Roman" w:eastAsia="仿宋" w:cs="Times New Roman"/>
          <w:sz w:val="24"/>
          <w:szCs w:val="24"/>
        </w:rPr>
      </w:pPr>
      <w:bookmarkStart w:id="12" w:name="No33_T5K3"/>
      <w:bookmarkEnd w:id="12"/>
      <w:r>
        <w:rPr>
          <w:rFonts w:ascii="Times New Roman" w:hAnsi="Times New Roman" w:eastAsia="仿宋" w:cs="Times New Roman"/>
          <w:sz w:val="24"/>
          <w:szCs w:val="24"/>
        </w:rPr>
        <w:t>（2）投资的全部或部分清算款项；</w:t>
      </w:r>
    </w:p>
    <w:p>
      <w:pPr>
        <w:spacing w:line="360" w:lineRule="auto"/>
        <w:ind w:firstLine="480" w:firstLineChars="200"/>
        <w:rPr>
          <w:rFonts w:ascii="Times New Roman" w:hAnsi="Times New Roman" w:eastAsia="仿宋" w:cs="Times New Roman"/>
          <w:sz w:val="24"/>
          <w:szCs w:val="24"/>
        </w:rPr>
      </w:pPr>
      <w:bookmarkStart w:id="13" w:name="No34_T5K4"/>
      <w:bookmarkEnd w:id="13"/>
      <w:r>
        <w:rPr>
          <w:rFonts w:ascii="Times New Roman" w:hAnsi="Times New Roman" w:eastAsia="仿宋" w:cs="Times New Roman"/>
          <w:sz w:val="24"/>
          <w:szCs w:val="24"/>
        </w:rPr>
        <w:t>（3）与投资有关的贷款</w:t>
      </w:r>
      <w:r>
        <w:rPr>
          <w:rFonts w:hint="eastAsia" w:ascii="Times New Roman" w:hAnsi="Times New Roman" w:eastAsia="仿宋" w:cs="Times New Roman"/>
          <w:sz w:val="24"/>
          <w:szCs w:val="24"/>
        </w:rPr>
        <w:t>协议</w:t>
      </w:r>
      <w:r>
        <w:rPr>
          <w:rFonts w:ascii="Times New Roman" w:hAnsi="Times New Roman" w:eastAsia="仿宋" w:cs="Times New Roman"/>
          <w:sz w:val="24"/>
          <w:szCs w:val="24"/>
        </w:rPr>
        <w:t>的偿还款项；</w:t>
      </w:r>
    </w:p>
    <w:p>
      <w:pPr>
        <w:spacing w:line="360" w:lineRule="auto"/>
        <w:ind w:firstLine="480" w:firstLineChars="200"/>
        <w:rPr>
          <w:rFonts w:ascii="Times New Roman" w:hAnsi="Times New Roman" w:eastAsia="仿宋" w:cs="Times New Roman"/>
          <w:sz w:val="24"/>
          <w:szCs w:val="24"/>
        </w:rPr>
      </w:pPr>
      <w:bookmarkStart w:id="14" w:name="No35_T5K5"/>
      <w:bookmarkEnd w:id="14"/>
      <w:r>
        <w:rPr>
          <w:rFonts w:ascii="Times New Roman" w:hAnsi="Times New Roman" w:eastAsia="仿宋" w:cs="Times New Roman"/>
          <w:sz w:val="24"/>
          <w:szCs w:val="24"/>
        </w:rPr>
        <w:t>（4）</w:t>
      </w:r>
      <w:r>
        <w:rPr>
          <w:rFonts w:hint="eastAsia" w:ascii="Times New Roman" w:hAnsi="Times New Roman" w:eastAsia="仿宋" w:cs="Times New Roman"/>
          <w:sz w:val="24"/>
          <w:szCs w:val="24"/>
        </w:rPr>
        <w:t>著作权、工业产权、专有技术和工艺流程的</w:t>
      </w:r>
      <w:r>
        <w:rPr>
          <w:rFonts w:hint="eastAsia" w:ascii="Times New Roman" w:hAnsi="Times New Roman" w:eastAsia="仿宋" w:cs="Times New Roman"/>
          <w:sz w:val="24"/>
          <w:szCs w:val="24"/>
          <w:highlight w:val="none"/>
        </w:rPr>
        <w:t>提成</w:t>
      </w:r>
      <w:r>
        <w:rPr>
          <w:rFonts w:hint="eastAsia" w:ascii="Times New Roman" w:hAnsi="Times New Roman" w:eastAsia="仿宋" w:cs="Times New Roman"/>
          <w:sz w:val="24"/>
          <w:szCs w:val="24"/>
        </w:rPr>
        <w:t>费</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bookmarkStart w:id="15" w:name="No36_T5K6"/>
      <w:bookmarkEnd w:id="15"/>
      <w:r>
        <w:rPr>
          <w:rFonts w:ascii="Times New Roman" w:hAnsi="Times New Roman" w:eastAsia="仿宋" w:cs="Times New Roman"/>
          <w:sz w:val="24"/>
          <w:szCs w:val="24"/>
        </w:rPr>
        <w:t>（5）技术援助或技术服务费、管理费；</w:t>
      </w:r>
    </w:p>
    <w:p>
      <w:pPr>
        <w:spacing w:line="360" w:lineRule="auto"/>
        <w:ind w:firstLine="480" w:firstLineChars="200"/>
        <w:rPr>
          <w:rFonts w:ascii="Times New Roman" w:hAnsi="Times New Roman" w:eastAsia="仿宋" w:cs="Times New Roman"/>
          <w:sz w:val="24"/>
          <w:szCs w:val="24"/>
        </w:rPr>
      </w:pPr>
      <w:bookmarkStart w:id="16" w:name="No37_T5K7"/>
      <w:bookmarkEnd w:id="16"/>
      <w:r>
        <w:rPr>
          <w:rFonts w:ascii="Times New Roman" w:hAnsi="Times New Roman" w:eastAsia="仿宋" w:cs="Times New Roman"/>
          <w:sz w:val="24"/>
          <w:szCs w:val="24"/>
        </w:rPr>
        <w:t>（6）</w:t>
      </w:r>
      <w:r>
        <w:rPr>
          <w:rFonts w:hint="eastAsia" w:ascii="Times New Roman" w:hAnsi="Times New Roman" w:eastAsia="仿宋" w:cs="Times New Roman"/>
          <w:sz w:val="24"/>
          <w:szCs w:val="24"/>
        </w:rPr>
        <w:t>与投资有关的承包工程的支付款项</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bookmarkStart w:id="17" w:name="No38_T5K8"/>
      <w:bookmarkEnd w:id="17"/>
      <w:r>
        <w:rPr>
          <w:rFonts w:ascii="Times New Roman" w:hAnsi="Times New Roman" w:eastAsia="仿宋" w:cs="Times New Roman"/>
          <w:sz w:val="24"/>
          <w:szCs w:val="24"/>
        </w:rPr>
        <w:t>（7）</w:t>
      </w:r>
      <w:r>
        <w:rPr>
          <w:rFonts w:hint="eastAsia" w:ascii="Times New Roman" w:hAnsi="Times New Roman" w:eastAsia="仿宋" w:cs="Times New Roman"/>
          <w:sz w:val="24"/>
          <w:szCs w:val="24"/>
        </w:rPr>
        <w:t>在缔约一方的领土内从事与投资有关活动的缔约另一方国民的收入</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我国投资者依照中阿BIT第</w:t>
      </w:r>
      <w:r>
        <w:rPr>
          <w:rFonts w:hint="eastAsia" w:ascii="Times New Roman" w:hAnsi="Times New Roman" w:eastAsia="仿宋" w:cs="Times New Roman"/>
          <w:sz w:val="24"/>
          <w:szCs w:val="24"/>
        </w:rPr>
        <w:t>6</w:t>
      </w:r>
      <w:r>
        <w:rPr>
          <w:rFonts w:ascii="Times New Roman" w:hAnsi="Times New Roman" w:eastAsia="仿宋" w:cs="Times New Roman"/>
          <w:sz w:val="24"/>
          <w:szCs w:val="24"/>
        </w:rPr>
        <w:t>条</w:t>
      </w:r>
      <w:r>
        <w:rPr>
          <w:rFonts w:hint="eastAsia" w:ascii="Times New Roman" w:hAnsi="Times New Roman" w:eastAsia="仿宋" w:cs="Times New Roman"/>
          <w:sz w:val="24"/>
          <w:szCs w:val="24"/>
        </w:rPr>
        <w:t>对</w:t>
      </w:r>
      <w:r>
        <w:rPr>
          <w:rFonts w:ascii="Times New Roman" w:hAnsi="Times New Roman" w:eastAsia="仿宋" w:cs="Times New Roman"/>
          <w:sz w:val="24"/>
          <w:szCs w:val="24"/>
        </w:rPr>
        <w:t>投资有关</w:t>
      </w:r>
      <w:r>
        <w:rPr>
          <w:rFonts w:hint="eastAsia" w:ascii="Times New Roman" w:hAnsi="Times New Roman" w:eastAsia="仿宋" w:cs="Times New Roman"/>
          <w:sz w:val="24"/>
          <w:szCs w:val="24"/>
        </w:rPr>
        <w:t>投资和收益</w:t>
      </w:r>
      <w:r>
        <w:rPr>
          <w:rFonts w:ascii="Times New Roman" w:hAnsi="Times New Roman" w:eastAsia="仿宋" w:cs="Times New Roman"/>
          <w:sz w:val="24"/>
          <w:szCs w:val="24"/>
        </w:rPr>
        <w:t>款项</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汇出，应依照转移之日阿塞拜疆的官方汇率进行。</w:t>
      </w:r>
      <w:r>
        <w:rPr>
          <w:rFonts w:hint="eastAsia" w:ascii="Times New Roman" w:hAnsi="Times New Roman" w:eastAsia="仿宋" w:cs="Times New Roman"/>
          <w:sz w:val="24"/>
          <w:szCs w:val="24"/>
        </w:rPr>
        <w:t>根据阿塞拜疆</w:t>
      </w:r>
      <w:r>
        <w:rPr>
          <w:rFonts w:ascii="Times New Roman" w:hAnsi="Times New Roman" w:eastAsia="仿宋" w:cs="Times New Roman"/>
          <w:sz w:val="24"/>
          <w:szCs w:val="24"/>
        </w:rPr>
        <w:t>《外</w:t>
      </w:r>
      <w:r>
        <w:rPr>
          <w:rFonts w:hint="eastAsia" w:ascii="Times New Roman" w:hAnsi="Times New Roman" w:eastAsia="仿宋" w:cs="Times New Roman"/>
          <w:sz w:val="24"/>
          <w:szCs w:val="24"/>
        </w:rPr>
        <w:t>商</w:t>
      </w:r>
      <w:r>
        <w:rPr>
          <w:rFonts w:ascii="Times New Roman" w:hAnsi="Times New Roman" w:eastAsia="仿宋" w:cs="Times New Roman"/>
          <w:sz w:val="24"/>
          <w:szCs w:val="24"/>
        </w:rPr>
        <w:t>投资保护法》</w:t>
      </w:r>
      <w:r>
        <w:rPr>
          <w:rFonts w:hint="eastAsia" w:ascii="Times New Roman" w:hAnsi="Times New Roman" w:eastAsia="仿宋" w:cs="Times New Roman"/>
          <w:sz w:val="24"/>
          <w:szCs w:val="24"/>
        </w:rPr>
        <w:t>第14条、</w:t>
      </w:r>
      <w:r>
        <w:rPr>
          <w:rFonts w:hint="eastAsia" w:ascii="Times New Roman" w:hAnsi="Times New Roman" w:eastAsia="仿宋" w:cs="Times New Roman"/>
          <w:sz w:val="24"/>
          <w:szCs w:val="24"/>
          <w:highlight w:val="none"/>
        </w:rPr>
        <w:t>第15条规定</w:t>
      </w:r>
      <w:r>
        <w:rPr>
          <w:rFonts w:ascii="Times New Roman" w:hAnsi="Times New Roman" w:eastAsia="仿宋" w:cs="Times New Roman"/>
          <w:sz w:val="24"/>
          <w:szCs w:val="24"/>
        </w:rPr>
        <w:t>，</w:t>
      </w:r>
      <w:r>
        <w:rPr>
          <w:rFonts w:hint="eastAsia" w:ascii="Times New Roman" w:hAnsi="Times New Roman" w:eastAsia="仿宋" w:cs="Times New Roman"/>
          <w:sz w:val="24"/>
          <w:szCs w:val="24"/>
        </w:rPr>
        <w:t>外国投资者在阿塞拜疆获得的利润可以进行再投资、存入银行，也可按阿塞拜疆国家银行所规定的程序和条件兑换成外币，在缴清相应税费后将其收入汇出国外。阿塞拜疆法定流通货币是马纳特，阿塞拜疆境内的银行机构可将马纳特与美元、欧元、俄罗斯卢布等进行自由兑换，但人民币不能与马纳特直接兑换</w:t>
      </w:r>
      <w:r>
        <w:rPr>
          <w:rStyle w:val="18"/>
          <w:rFonts w:ascii="Times New Roman" w:hAnsi="Times New Roman" w:eastAsia="仿宋" w:cs="Times New Roman"/>
          <w:sz w:val="24"/>
          <w:szCs w:val="24"/>
        </w:rPr>
        <w:footnoteReference w:id="8"/>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p>
    <w:p>
      <w:pPr>
        <w:pStyle w:val="3"/>
        <w:tabs>
          <w:tab w:val="left" w:pos="2688"/>
        </w:tabs>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（七）投资者与东道国争议解决</w:t>
      </w:r>
    </w:p>
    <w:p>
      <w:pPr>
        <w:spacing w:line="360" w:lineRule="auto"/>
        <w:ind w:firstLine="482" w:firstLineChars="200"/>
        <w:rPr>
          <w:rFonts w:ascii="Times New Roman" w:hAnsi="Times New Roman" w:eastAsia="仿宋" w:cs="Times New Roman"/>
          <w:b/>
          <w:sz w:val="24"/>
          <w:szCs w:val="24"/>
        </w:rPr>
      </w:pPr>
      <w:r>
        <w:rPr>
          <w:rFonts w:ascii="Times New Roman" w:hAnsi="Times New Roman" w:eastAsia="仿宋" w:cs="Times New Roman"/>
          <w:b/>
          <w:sz w:val="24"/>
          <w:szCs w:val="24"/>
        </w:rPr>
        <w:t>1.</w:t>
      </w:r>
      <w:r>
        <w:rPr>
          <w:rFonts w:hint="eastAsia" w:ascii="Times New Roman" w:hAnsi="Times New Roman" w:eastAsia="仿宋" w:cs="Times New Roman"/>
          <w:b/>
          <w:sz w:val="24"/>
          <w:szCs w:val="24"/>
        </w:rPr>
        <w:t xml:space="preserve"> </w:t>
      </w:r>
      <w:r>
        <w:rPr>
          <w:rFonts w:ascii="Times New Roman" w:hAnsi="Times New Roman" w:eastAsia="仿宋" w:cs="Times New Roman"/>
          <w:b/>
          <w:sz w:val="24"/>
          <w:szCs w:val="24"/>
        </w:rPr>
        <w:t>争议解决方式</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若</w:t>
      </w:r>
      <w:r>
        <w:rPr>
          <w:rFonts w:ascii="Times New Roman" w:hAnsi="Times New Roman" w:eastAsia="仿宋" w:cs="Times New Roman"/>
          <w:sz w:val="24"/>
          <w:szCs w:val="24"/>
        </w:rPr>
        <w:t>我国投资者与阿塞拜疆政府之间在阿塞拜疆领土内发生与投资</w:t>
      </w:r>
      <w:r>
        <w:rPr>
          <w:rFonts w:hint="eastAsia" w:ascii="Times New Roman" w:hAnsi="Times New Roman" w:eastAsia="仿宋" w:cs="Times New Roman"/>
          <w:sz w:val="24"/>
          <w:szCs w:val="24"/>
        </w:rPr>
        <w:t>有关</w:t>
      </w:r>
      <w:r>
        <w:rPr>
          <w:rFonts w:ascii="Times New Roman" w:hAnsi="Times New Roman" w:eastAsia="仿宋" w:cs="Times New Roman"/>
          <w:sz w:val="24"/>
          <w:szCs w:val="24"/>
        </w:rPr>
        <w:t>的争议</w:t>
      </w:r>
      <w:r>
        <w:rPr>
          <w:rFonts w:hint="eastAsia" w:ascii="Times New Roman" w:hAnsi="Times New Roman" w:eastAsia="仿宋" w:cs="Times New Roman"/>
          <w:sz w:val="24"/>
          <w:szCs w:val="24"/>
        </w:rPr>
        <w:t>，</w:t>
      </w:r>
      <w:r>
        <w:rPr>
          <w:rFonts w:ascii="Times New Roman" w:hAnsi="Times New Roman" w:eastAsia="仿宋" w:cs="Times New Roman"/>
          <w:sz w:val="24"/>
          <w:szCs w:val="24"/>
        </w:rPr>
        <w:t>根据中阿BIT</w:t>
      </w:r>
      <w:r>
        <w:rPr>
          <w:rFonts w:ascii="Times New Roman" w:hAnsi="Times New Roman" w:eastAsia="仿宋" w:cs="Times New Roman"/>
          <w:sz w:val="24"/>
          <w:szCs w:val="24"/>
          <w:highlight w:val="none"/>
        </w:rPr>
        <w:t>第</w:t>
      </w:r>
      <w:r>
        <w:rPr>
          <w:rFonts w:hint="eastAsia" w:ascii="Times New Roman" w:hAnsi="Times New Roman" w:eastAsia="仿宋" w:cs="Times New Roman"/>
          <w:sz w:val="24"/>
          <w:szCs w:val="24"/>
          <w:highlight w:val="none"/>
        </w:rPr>
        <w:t>9</w:t>
      </w:r>
      <w:r>
        <w:rPr>
          <w:rFonts w:ascii="Times New Roman" w:hAnsi="Times New Roman" w:eastAsia="仿宋" w:cs="Times New Roman"/>
          <w:sz w:val="24"/>
          <w:szCs w:val="24"/>
          <w:highlight w:val="none"/>
        </w:rPr>
        <w:t>条规定</w:t>
      </w:r>
      <w:r>
        <w:rPr>
          <w:rFonts w:ascii="Times New Roman" w:hAnsi="Times New Roman" w:eastAsia="仿宋" w:cs="Times New Roman"/>
          <w:sz w:val="24"/>
          <w:szCs w:val="24"/>
        </w:rPr>
        <w:t>，</w:t>
      </w:r>
      <w:r>
        <w:rPr>
          <w:rFonts w:hint="eastAsia" w:ascii="Times New Roman" w:hAnsi="Times New Roman" w:eastAsia="仿宋" w:cs="Times New Roman"/>
          <w:sz w:val="24"/>
          <w:szCs w:val="24"/>
        </w:rPr>
        <w:t>双方</w:t>
      </w:r>
      <w:r>
        <w:rPr>
          <w:rFonts w:ascii="Times New Roman" w:hAnsi="Times New Roman" w:eastAsia="仿宋" w:cs="Times New Roman"/>
          <w:sz w:val="24"/>
          <w:szCs w:val="24"/>
        </w:rPr>
        <w:t>可</w:t>
      </w:r>
      <w:r>
        <w:rPr>
          <w:rFonts w:hint="eastAsia" w:ascii="Times New Roman" w:hAnsi="Times New Roman" w:eastAsia="仿宋" w:cs="Times New Roman"/>
          <w:sz w:val="24"/>
          <w:szCs w:val="24"/>
        </w:rPr>
        <w:t>遵照</w:t>
      </w:r>
      <w:r>
        <w:rPr>
          <w:rFonts w:ascii="Times New Roman" w:hAnsi="Times New Roman" w:eastAsia="仿宋" w:cs="Times New Roman"/>
          <w:sz w:val="24"/>
          <w:szCs w:val="24"/>
        </w:rPr>
        <w:t>如下争议解决方式</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（1）前置协商机制。双方产生与投资有关的争议</w:t>
      </w:r>
      <w:r>
        <w:rPr>
          <w:rFonts w:ascii="Times New Roman" w:hAnsi="Times New Roman" w:eastAsia="仿宋" w:cs="Times New Roman"/>
          <w:sz w:val="24"/>
          <w:szCs w:val="24"/>
        </w:rPr>
        <w:t>应尽量由双方友好协商解决</w:t>
      </w:r>
      <w:r>
        <w:rPr>
          <w:rFonts w:hint="eastAsia" w:ascii="Times New Roman" w:hAnsi="Times New Roman" w:eastAsia="仿宋" w:cs="Times New Roman"/>
          <w:sz w:val="24"/>
          <w:szCs w:val="24"/>
        </w:rPr>
        <w:t>，协商期为六个月。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（2）东道国国内法院管辖。</w:t>
      </w:r>
      <w:r>
        <w:rPr>
          <w:rFonts w:ascii="Times New Roman" w:hAnsi="Times New Roman" w:eastAsia="仿宋" w:cs="Times New Roman"/>
          <w:sz w:val="24"/>
          <w:szCs w:val="24"/>
        </w:rPr>
        <w:t>如争议在六个月</w:t>
      </w:r>
      <w:r>
        <w:rPr>
          <w:rFonts w:hint="eastAsia" w:ascii="Times New Roman" w:hAnsi="Times New Roman" w:eastAsia="仿宋" w:cs="Times New Roman"/>
          <w:sz w:val="24"/>
          <w:szCs w:val="24"/>
        </w:rPr>
        <w:t>后</w:t>
      </w:r>
      <w:r>
        <w:rPr>
          <w:rFonts w:ascii="Times New Roman" w:hAnsi="Times New Roman" w:eastAsia="仿宋" w:cs="Times New Roman"/>
          <w:sz w:val="24"/>
          <w:szCs w:val="24"/>
        </w:rPr>
        <w:t>未能协商解决，当事任何一方有权将争议提交阿塞拜疆有管辖权的法院</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（3）仅涉及征收补偿款额的争议可提交专设仲裁庭。如</w:t>
      </w:r>
      <w:r>
        <w:rPr>
          <w:rFonts w:ascii="Times New Roman" w:hAnsi="Times New Roman" w:eastAsia="仿宋" w:cs="Times New Roman"/>
          <w:sz w:val="24"/>
          <w:szCs w:val="24"/>
        </w:rPr>
        <w:t>涉及征收补偿款额的争议，</w:t>
      </w:r>
      <w:r>
        <w:rPr>
          <w:rFonts w:hint="eastAsia" w:ascii="Times New Roman" w:hAnsi="Times New Roman" w:eastAsia="仿宋" w:cs="Times New Roman"/>
          <w:sz w:val="24"/>
          <w:szCs w:val="24"/>
        </w:rPr>
        <w:t>经过</w:t>
      </w:r>
      <w:r>
        <w:rPr>
          <w:rFonts w:ascii="Times New Roman" w:hAnsi="Times New Roman" w:eastAsia="仿宋" w:cs="Times New Roman"/>
          <w:sz w:val="24"/>
          <w:szCs w:val="24"/>
        </w:rPr>
        <w:t>六个月协商后</w:t>
      </w:r>
      <w:r>
        <w:rPr>
          <w:rFonts w:hint="eastAsia" w:ascii="Times New Roman" w:hAnsi="Times New Roman" w:eastAsia="仿宋" w:cs="Times New Roman"/>
          <w:sz w:val="24"/>
          <w:szCs w:val="24"/>
        </w:rPr>
        <w:t>未能解决</w:t>
      </w:r>
      <w:r>
        <w:rPr>
          <w:rFonts w:ascii="Times New Roman" w:hAnsi="Times New Roman" w:eastAsia="仿宋" w:cs="Times New Roman"/>
          <w:sz w:val="24"/>
          <w:szCs w:val="24"/>
        </w:rPr>
        <w:t>，当事任何一方均有权将争议提交专设仲裁庭，但</w:t>
      </w:r>
      <w:r>
        <w:rPr>
          <w:rFonts w:hint="eastAsia" w:ascii="Times New Roman" w:hAnsi="Times New Roman" w:eastAsia="仿宋" w:cs="Times New Roman"/>
          <w:sz w:val="24"/>
          <w:szCs w:val="24"/>
        </w:rPr>
        <w:t>对于</w:t>
      </w:r>
      <w:r>
        <w:rPr>
          <w:rFonts w:ascii="Times New Roman" w:hAnsi="Times New Roman" w:eastAsia="仿宋" w:cs="Times New Roman"/>
          <w:sz w:val="24"/>
          <w:szCs w:val="24"/>
        </w:rPr>
        <w:t>已提交阿塞拜疆国内法院的争议，</w:t>
      </w:r>
      <w:r>
        <w:rPr>
          <w:rFonts w:hint="eastAsia" w:ascii="Times New Roman" w:hAnsi="Times New Roman" w:eastAsia="仿宋" w:cs="Times New Roman"/>
          <w:sz w:val="24"/>
          <w:szCs w:val="24"/>
        </w:rPr>
        <w:t>当事人无权</w:t>
      </w:r>
      <w:r>
        <w:rPr>
          <w:rFonts w:ascii="Times New Roman" w:hAnsi="Times New Roman" w:eastAsia="仿宋" w:cs="Times New Roman"/>
          <w:sz w:val="24"/>
          <w:szCs w:val="24"/>
        </w:rPr>
        <w:t>再提交至专设仲裁庭。</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鉴于中阿BIT</w:t>
      </w:r>
      <w:r>
        <w:rPr>
          <w:rFonts w:hint="eastAsia" w:ascii="Times New Roman" w:hAnsi="Times New Roman" w:eastAsia="仿宋" w:cs="Times New Roman"/>
          <w:sz w:val="24"/>
          <w:szCs w:val="24"/>
          <w:highlight w:val="none"/>
        </w:rPr>
        <w:t>第9条规定</w:t>
      </w:r>
      <w:r>
        <w:rPr>
          <w:rFonts w:hint="eastAsia" w:ascii="Times New Roman" w:hAnsi="Times New Roman" w:eastAsia="仿宋" w:cs="Times New Roman"/>
          <w:sz w:val="24"/>
          <w:szCs w:val="24"/>
        </w:rPr>
        <w:t>可提交临时仲裁的范围仅限于涉及征收补偿款额的争议，若发生与征收有关的争议时，建议我国投资者在案件准备过程中，将征收补偿款额有关的争议与征收行为合法性的争议予以</w:t>
      </w:r>
      <w:r>
        <w:rPr>
          <w:rFonts w:hint="eastAsia" w:ascii="Times New Roman" w:hAnsi="Times New Roman" w:eastAsia="仿宋" w:cs="Times New Roman"/>
          <w:sz w:val="24"/>
          <w:szCs w:val="24"/>
          <w:highlight w:val="none"/>
        </w:rPr>
        <w:t>分拆</w:t>
      </w:r>
      <w:r>
        <w:rPr>
          <w:rFonts w:hint="eastAsia" w:ascii="Times New Roman" w:hAnsi="Times New Roman" w:eastAsia="仿宋" w:cs="Times New Roman"/>
          <w:sz w:val="24"/>
          <w:szCs w:val="24"/>
        </w:rPr>
        <w:t>，以便专设仲裁庭可顺利获得对争议的管辖权。</w:t>
      </w:r>
    </w:p>
    <w:p>
      <w:pPr>
        <w:spacing w:line="360" w:lineRule="auto"/>
        <w:ind w:firstLine="482" w:firstLineChars="200"/>
        <w:rPr>
          <w:rFonts w:ascii="Times New Roman" w:hAnsi="Times New Roman" w:eastAsia="仿宋" w:cs="Times New Roman"/>
          <w:b/>
          <w:sz w:val="24"/>
          <w:szCs w:val="24"/>
        </w:rPr>
      </w:pPr>
      <w:r>
        <w:rPr>
          <w:rFonts w:hint="eastAsia" w:ascii="Times New Roman" w:hAnsi="Times New Roman" w:eastAsia="仿宋" w:cs="Times New Roman"/>
          <w:b/>
          <w:sz w:val="24"/>
          <w:szCs w:val="24"/>
        </w:rPr>
        <w:t>2. 关于仲裁的程序性规定</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专设仲裁庭应按下列方式逐案设立：</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（1）争议双方应各任命一名仲裁员，该两名仲裁员推举一名与中阿</w:t>
      </w:r>
      <w:r>
        <w:rPr>
          <w:rFonts w:hint="eastAsia" w:ascii="Times New Roman" w:hAnsi="Times New Roman" w:eastAsia="仿宋" w:cs="Times New Roman"/>
          <w:sz w:val="24"/>
          <w:szCs w:val="24"/>
        </w:rPr>
        <w:t>两国</w:t>
      </w:r>
      <w:r>
        <w:rPr>
          <w:rFonts w:ascii="Times New Roman" w:hAnsi="Times New Roman" w:eastAsia="仿宋" w:cs="Times New Roman"/>
          <w:sz w:val="24"/>
          <w:szCs w:val="24"/>
        </w:rPr>
        <w:t>均有外交关系的第三国国民为首席仲裁员；头两名仲裁员应在</w:t>
      </w:r>
      <w:r>
        <w:rPr>
          <w:rFonts w:hint="eastAsia" w:ascii="Times New Roman" w:hAnsi="Times New Roman" w:eastAsia="仿宋" w:cs="Times New Roman"/>
          <w:sz w:val="24"/>
          <w:szCs w:val="24"/>
        </w:rPr>
        <w:t>仲裁申请方</w:t>
      </w:r>
      <w:r>
        <w:rPr>
          <w:rFonts w:ascii="Times New Roman" w:hAnsi="Times New Roman" w:eastAsia="仿宋" w:cs="Times New Roman"/>
          <w:sz w:val="24"/>
          <w:szCs w:val="24"/>
        </w:rPr>
        <w:t>书面通知另一方提出仲裁后的两个月内任命，首席仲裁员应在四个月内推选。</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（2）如在</w:t>
      </w:r>
      <w:r>
        <w:rPr>
          <w:rFonts w:hint="eastAsia" w:ascii="Times New Roman" w:hAnsi="Times New Roman" w:eastAsia="仿宋" w:cs="Times New Roman"/>
          <w:sz w:val="24"/>
          <w:szCs w:val="24"/>
        </w:rPr>
        <w:t>上</w:t>
      </w:r>
      <w:r>
        <w:rPr>
          <w:rFonts w:ascii="Times New Roman" w:hAnsi="Times New Roman" w:eastAsia="仿宋" w:cs="Times New Roman"/>
          <w:sz w:val="24"/>
          <w:szCs w:val="24"/>
        </w:rPr>
        <w:t>述规定的期限内，仲裁庭尚未组成，争议任何一方可提请</w:t>
      </w:r>
      <w:r>
        <w:rPr>
          <w:rFonts w:hint="eastAsia" w:ascii="Times New Roman" w:hAnsi="Times New Roman" w:eastAsia="仿宋" w:cs="Times New Roman"/>
          <w:sz w:val="24"/>
          <w:szCs w:val="24"/>
        </w:rPr>
        <w:t>I</w:t>
      </w:r>
      <w:r>
        <w:rPr>
          <w:rFonts w:ascii="Times New Roman" w:hAnsi="Times New Roman" w:eastAsia="仿宋" w:cs="Times New Roman"/>
          <w:sz w:val="24"/>
          <w:szCs w:val="24"/>
        </w:rPr>
        <w:t>CSID秘书长作出必要的委任。</w:t>
      </w:r>
    </w:p>
    <w:p>
      <w:pPr>
        <w:spacing w:line="360" w:lineRule="auto"/>
        <w:ind w:firstLine="480" w:firstLineChars="200"/>
        <w:rPr>
          <w:rFonts w:ascii="Times New Roman" w:hAnsi="Times New Roman" w:eastAsia="仿宋" w:cs="Times New Roman"/>
          <w:sz w:val="24"/>
          <w:szCs w:val="24"/>
        </w:rPr>
      </w:pPr>
      <w:bookmarkStart w:id="18" w:name="No56_T9K3"/>
      <w:bookmarkEnd w:id="18"/>
      <w:r>
        <w:rPr>
          <w:rFonts w:ascii="Times New Roman" w:hAnsi="Times New Roman" w:eastAsia="仿宋" w:cs="Times New Roman"/>
          <w:sz w:val="24"/>
          <w:szCs w:val="24"/>
        </w:rPr>
        <w:t>仲裁庭应自行制定其程序，在制定程序时仲裁庭可以参照ICSID仲裁规则；</w:t>
      </w:r>
      <w:bookmarkStart w:id="19" w:name="No57_T9K4"/>
      <w:bookmarkEnd w:id="19"/>
      <w:bookmarkStart w:id="20" w:name="No58_T9K5"/>
      <w:bookmarkEnd w:id="20"/>
      <w:r>
        <w:rPr>
          <w:rFonts w:ascii="Times New Roman" w:hAnsi="Times New Roman" w:eastAsia="仿宋" w:cs="Times New Roman"/>
          <w:sz w:val="24"/>
          <w:szCs w:val="24"/>
        </w:rPr>
        <w:t>仲裁庭应根据阿塞拜疆的法律（包括其冲突法规则）、中阿BIT的规定以及中阿双方均接受的普遍承认的国际法原则作出裁决。</w:t>
      </w:r>
    </w:p>
    <w:p>
      <w:pPr>
        <w:spacing w:line="360" w:lineRule="auto"/>
        <w:ind w:firstLine="480" w:firstLineChars="200"/>
        <w:rPr>
          <w:rFonts w:ascii="Times New Roman" w:hAnsi="Times New Roman" w:eastAsia="仿宋" w:cs="Times New Roman"/>
          <w:sz w:val="24"/>
          <w:szCs w:val="24"/>
        </w:rPr>
      </w:pPr>
      <w:bookmarkStart w:id="21" w:name="No59_T9K6"/>
      <w:bookmarkEnd w:id="21"/>
      <w:r>
        <w:rPr>
          <w:rFonts w:ascii="Times New Roman" w:hAnsi="Times New Roman" w:eastAsia="仿宋" w:cs="Times New Roman"/>
          <w:sz w:val="24"/>
          <w:szCs w:val="24"/>
        </w:rPr>
        <w:t>仲裁庭的裁决以多数票作出。裁决是终局的，对争议双方具有拘束力。中国或阿塞拜疆根据各自的法律应对强制执行仲裁庭裁决承担义务。</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阿塞拜疆在ICSID的仲裁案件</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截至20</w:t>
      </w:r>
      <w:r>
        <w:rPr>
          <w:rFonts w:hint="eastAsia" w:ascii="Times New Roman" w:hAnsi="Times New Roman" w:eastAsia="仿宋" w:cs="Times New Roman"/>
          <w:sz w:val="24"/>
          <w:szCs w:val="24"/>
        </w:rPr>
        <w:t>20</w:t>
      </w:r>
      <w:r>
        <w:rPr>
          <w:rFonts w:ascii="Times New Roman" w:hAnsi="Times New Roman" w:eastAsia="仿宋" w:cs="Times New Roman"/>
          <w:sz w:val="24"/>
          <w:szCs w:val="24"/>
        </w:rPr>
        <w:t>年</w:t>
      </w:r>
      <w:r>
        <w:rPr>
          <w:rFonts w:hint="eastAsia" w:ascii="Times New Roman" w:hAnsi="Times New Roman" w:eastAsia="仿宋" w:cs="Times New Roman"/>
          <w:sz w:val="24"/>
          <w:szCs w:val="24"/>
        </w:rPr>
        <w:t>3</w:t>
      </w:r>
      <w:r>
        <w:rPr>
          <w:rFonts w:ascii="Times New Roman" w:hAnsi="Times New Roman" w:eastAsia="仿宋" w:cs="Times New Roman"/>
          <w:sz w:val="24"/>
          <w:szCs w:val="24"/>
        </w:rPr>
        <w:t>月</w:t>
      </w:r>
      <w:r>
        <w:rPr>
          <w:rFonts w:hint="eastAsia" w:ascii="Times New Roman" w:hAnsi="Times New Roman" w:eastAsia="仿宋" w:cs="Times New Roman"/>
          <w:sz w:val="24"/>
          <w:szCs w:val="24"/>
        </w:rPr>
        <w:t>31</w:t>
      </w:r>
      <w:r>
        <w:rPr>
          <w:rFonts w:ascii="Times New Roman" w:hAnsi="Times New Roman" w:eastAsia="仿宋" w:cs="Times New Roman"/>
          <w:sz w:val="24"/>
          <w:szCs w:val="24"/>
        </w:rPr>
        <w:t>日，阿塞拜疆作为被申请人在</w:t>
      </w:r>
      <w:r>
        <w:rPr>
          <w:rFonts w:hint="eastAsia" w:ascii="Times New Roman" w:hAnsi="Times New Roman" w:eastAsia="仿宋" w:cs="Times New Roman"/>
          <w:sz w:val="24"/>
          <w:szCs w:val="24"/>
        </w:rPr>
        <w:t>ICSID的仲裁案件共有4</w:t>
      </w:r>
      <w:r>
        <w:rPr>
          <w:rFonts w:ascii="Times New Roman" w:hAnsi="Times New Roman" w:eastAsia="仿宋" w:cs="Times New Roman"/>
          <w:sz w:val="24"/>
          <w:szCs w:val="24"/>
        </w:rPr>
        <w:t>起，</w:t>
      </w:r>
      <w:r>
        <w:rPr>
          <w:rFonts w:hint="eastAsia" w:ascii="Times New Roman" w:hAnsi="Times New Roman" w:eastAsia="仿宋" w:cs="Times New Roman"/>
          <w:sz w:val="24"/>
          <w:szCs w:val="24"/>
        </w:rPr>
        <w:t>笔者根据</w:t>
      </w:r>
      <w:r>
        <w:rPr>
          <w:rFonts w:ascii="Times New Roman" w:hAnsi="Times New Roman" w:eastAsia="仿宋" w:cs="Times New Roman"/>
          <w:sz w:val="24"/>
          <w:szCs w:val="24"/>
        </w:rPr>
        <w:t>ICSID网站的案件信息</w:t>
      </w:r>
      <w:r>
        <w:rPr>
          <w:rFonts w:hint="eastAsia" w:ascii="Times New Roman" w:hAnsi="Times New Roman" w:eastAsia="仿宋" w:cs="Times New Roman"/>
          <w:sz w:val="24"/>
          <w:szCs w:val="24"/>
        </w:rPr>
        <w:t>整理如下</w:t>
      </w:r>
      <w:r>
        <w:rPr>
          <w:rStyle w:val="18"/>
          <w:rFonts w:ascii="Times New Roman" w:hAnsi="Times New Roman" w:eastAsia="仿宋" w:cs="Times New Roman"/>
          <w:sz w:val="24"/>
          <w:szCs w:val="24"/>
        </w:rPr>
        <w:footnoteReference w:id="9"/>
      </w:r>
      <w:r>
        <w:rPr>
          <w:rFonts w:hint="eastAsia" w:ascii="Times New Roman" w:hAnsi="Times New Roman" w:eastAsia="仿宋" w:cs="Times New Roman"/>
          <w:sz w:val="24"/>
          <w:szCs w:val="24"/>
        </w:rPr>
        <w:t>：</w:t>
      </w:r>
    </w:p>
    <w:tbl>
      <w:tblPr>
        <w:tblStyle w:val="28"/>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134"/>
        <w:gridCol w:w="1932"/>
        <w:gridCol w:w="1134"/>
        <w:gridCol w:w="1732"/>
        <w:gridCol w:w="1058"/>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shd w:val="clear" w:color="auto" w:fill="BEBEBE" w:themeFill="background1" w:themeFillShade="BF"/>
            <w:vAlign w:val="center"/>
          </w:tcPr>
          <w:p>
            <w:pPr>
              <w:widowControl/>
              <w:spacing w:before="120" w:beforeLines="50" w:after="120" w:afterLines="50" w:line="420" w:lineRule="atLeast"/>
              <w:jc w:val="center"/>
              <w:rPr>
                <w:rFonts w:eastAsia="仿宋"/>
                <w:b/>
                <w:bCs/>
                <w:color w:val="000000"/>
                <w:kern w:val="0"/>
                <w:szCs w:val="21"/>
              </w:rPr>
            </w:pPr>
            <w:r>
              <w:rPr>
                <w:rFonts w:hint="eastAsia" w:ascii="Times New Roman" w:hAnsi="Times New Roman" w:eastAsia="仿宋" w:cs="Times New Roman"/>
                <w:b/>
                <w:bCs/>
                <w:color w:val="000000"/>
                <w:kern w:val="0"/>
                <w:szCs w:val="21"/>
              </w:rPr>
              <w:t>序号</w:t>
            </w:r>
          </w:p>
        </w:tc>
        <w:tc>
          <w:tcPr>
            <w:tcW w:w="1134" w:type="dxa"/>
            <w:shd w:val="clear" w:color="auto" w:fill="BEBEBE" w:themeFill="background1" w:themeFillShade="BF"/>
            <w:vAlign w:val="center"/>
          </w:tcPr>
          <w:p>
            <w:pPr>
              <w:widowControl/>
              <w:spacing w:before="120" w:beforeLines="50" w:after="120" w:afterLines="50" w:line="420" w:lineRule="atLeast"/>
              <w:jc w:val="center"/>
              <w:rPr>
                <w:rFonts w:eastAsia="仿宋"/>
                <w:b/>
                <w:bCs/>
                <w:color w:val="000000"/>
                <w:kern w:val="0"/>
                <w:szCs w:val="21"/>
              </w:rPr>
            </w:pPr>
            <w:r>
              <w:rPr>
                <w:rFonts w:hint="eastAsia" w:ascii="Times New Roman" w:hAnsi="Times New Roman" w:eastAsia="仿宋" w:cs="Times New Roman"/>
                <w:b/>
                <w:bCs/>
                <w:color w:val="000000"/>
                <w:kern w:val="0"/>
                <w:szCs w:val="21"/>
              </w:rPr>
              <w:t>案件编号</w:t>
            </w:r>
          </w:p>
        </w:tc>
        <w:tc>
          <w:tcPr>
            <w:tcW w:w="1932" w:type="dxa"/>
            <w:shd w:val="clear" w:color="auto" w:fill="BEBEBE" w:themeFill="background1" w:themeFillShade="BF"/>
            <w:vAlign w:val="center"/>
          </w:tcPr>
          <w:p>
            <w:pPr>
              <w:widowControl/>
              <w:spacing w:before="120" w:beforeLines="50" w:after="120" w:afterLines="50" w:line="420" w:lineRule="atLeast"/>
              <w:jc w:val="center"/>
              <w:rPr>
                <w:rFonts w:eastAsia="仿宋"/>
                <w:b/>
                <w:bCs/>
                <w:color w:val="000000"/>
                <w:kern w:val="0"/>
                <w:szCs w:val="21"/>
              </w:rPr>
            </w:pPr>
            <w:r>
              <w:rPr>
                <w:rFonts w:hint="eastAsia" w:ascii="Times New Roman" w:hAnsi="Times New Roman" w:eastAsia="仿宋" w:cs="Times New Roman"/>
                <w:b/>
                <w:bCs/>
                <w:color w:val="000000"/>
                <w:kern w:val="0"/>
                <w:szCs w:val="21"/>
              </w:rPr>
              <w:t>申请方</w:t>
            </w:r>
          </w:p>
        </w:tc>
        <w:tc>
          <w:tcPr>
            <w:tcW w:w="1134" w:type="dxa"/>
            <w:shd w:val="clear" w:color="auto" w:fill="BEBEBE" w:themeFill="background1" w:themeFillShade="BF"/>
            <w:vAlign w:val="center"/>
          </w:tcPr>
          <w:p>
            <w:pPr>
              <w:widowControl/>
              <w:spacing w:before="120" w:beforeLines="50" w:after="120" w:afterLines="50" w:line="420" w:lineRule="atLeast"/>
              <w:jc w:val="center"/>
              <w:rPr>
                <w:rFonts w:eastAsia="仿宋"/>
                <w:b/>
                <w:bCs/>
                <w:color w:val="000000"/>
                <w:kern w:val="0"/>
                <w:szCs w:val="21"/>
              </w:rPr>
            </w:pPr>
            <w:r>
              <w:rPr>
                <w:rFonts w:hint="eastAsia" w:ascii="Times New Roman" w:hAnsi="Times New Roman" w:eastAsia="仿宋" w:cs="Times New Roman"/>
                <w:b/>
                <w:bCs/>
                <w:color w:val="000000"/>
                <w:kern w:val="0"/>
                <w:szCs w:val="21"/>
              </w:rPr>
              <w:t>登记日期</w:t>
            </w:r>
          </w:p>
        </w:tc>
        <w:tc>
          <w:tcPr>
            <w:tcW w:w="1732" w:type="dxa"/>
            <w:shd w:val="clear" w:color="auto" w:fill="BEBEBE" w:themeFill="background1" w:themeFillShade="BF"/>
            <w:vAlign w:val="center"/>
          </w:tcPr>
          <w:p>
            <w:pPr>
              <w:widowControl/>
              <w:spacing w:before="120" w:beforeLines="50" w:after="120" w:afterLines="50" w:line="420" w:lineRule="atLeast"/>
              <w:jc w:val="center"/>
              <w:rPr>
                <w:rFonts w:eastAsia="仿宋"/>
                <w:b/>
                <w:bCs/>
                <w:color w:val="000000"/>
                <w:kern w:val="0"/>
                <w:szCs w:val="21"/>
              </w:rPr>
            </w:pPr>
            <w:r>
              <w:rPr>
                <w:rFonts w:hint="eastAsia" w:ascii="Times New Roman" w:hAnsi="Times New Roman" w:eastAsia="仿宋" w:cs="Times New Roman"/>
                <w:b/>
                <w:bCs/>
                <w:color w:val="000000"/>
                <w:kern w:val="0"/>
                <w:szCs w:val="21"/>
              </w:rPr>
              <w:t>涉及法律文件</w:t>
            </w:r>
          </w:p>
        </w:tc>
        <w:tc>
          <w:tcPr>
            <w:tcW w:w="1058" w:type="dxa"/>
            <w:shd w:val="clear" w:color="auto" w:fill="BEBEBE" w:themeFill="background1" w:themeFillShade="BF"/>
            <w:vAlign w:val="center"/>
          </w:tcPr>
          <w:p>
            <w:pPr>
              <w:widowControl/>
              <w:spacing w:before="120" w:beforeLines="50" w:after="120" w:afterLines="50" w:line="420" w:lineRule="atLeast"/>
              <w:jc w:val="center"/>
              <w:rPr>
                <w:rFonts w:eastAsia="仿宋"/>
                <w:b/>
                <w:bCs/>
                <w:color w:val="000000"/>
                <w:kern w:val="0"/>
                <w:szCs w:val="21"/>
              </w:rPr>
            </w:pPr>
            <w:r>
              <w:rPr>
                <w:rFonts w:hint="eastAsia" w:ascii="Times New Roman" w:hAnsi="Times New Roman" w:eastAsia="仿宋" w:cs="Times New Roman"/>
                <w:b/>
                <w:bCs/>
                <w:color w:val="000000"/>
                <w:kern w:val="0"/>
                <w:szCs w:val="21"/>
              </w:rPr>
              <w:t>产业领域</w:t>
            </w:r>
          </w:p>
        </w:tc>
        <w:tc>
          <w:tcPr>
            <w:tcW w:w="969" w:type="dxa"/>
            <w:shd w:val="clear" w:color="auto" w:fill="BEBEBE" w:themeFill="background1" w:themeFillShade="BF"/>
            <w:vAlign w:val="center"/>
          </w:tcPr>
          <w:p>
            <w:pPr>
              <w:widowControl/>
              <w:spacing w:before="120" w:beforeLines="50" w:after="120" w:afterLines="50" w:line="420" w:lineRule="atLeast"/>
              <w:ind w:right="-15" w:rightChars="-7"/>
              <w:jc w:val="center"/>
              <w:rPr>
                <w:rFonts w:eastAsia="仿宋"/>
                <w:b/>
                <w:bCs/>
                <w:color w:val="000000"/>
                <w:kern w:val="0"/>
                <w:szCs w:val="21"/>
              </w:rPr>
            </w:pPr>
            <w:r>
              <w:rPr>
                <w:rFonts w:hint="eastAsia" w:ascii="Times New Roman" w:hAnsi="Times New Roman" w:eastAsia="仿宋" w:cs="Times New Roman"/>
                <w:b/>
                <w:bCs/>
                <w:color w:val="000000"/>
                <w:kern w:val="0"/>
                <w:szCs w:val="21"/>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20" w:beforeLines="50" w:after="120"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w:t>
            </w:r>
          </w:p>
        </w:tc>
        <w:tc>
          <w:tcPr>
            <w:tcW w:w="1134" w:type="dxa"/>
            <w:vAlign w:val="center"/>
          </w:tcPr>
          <w:p>
            <w:pPr>
              <w:widowControl/>
              <w:spacing w:before="120" w:beforeLines="50" w:after="120" w:afterLines="50" w:line="420" w:lineRule="atLeast"/>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宋体" w:cs="Times New Roman"/>
              </w:rPr>
              <w:t>ARB/06/15</w:t>
            </w:r>
          </w:p>
        </w:tc>
        <w:tc>
          <w:tcPr>
            <w:tcW w:w="1932" w:type="dxa"/>
            <w:vAlign w:val="center"/>
          </w:tcPr>
          <w:p>
            <w:pPr>
              <w:widowControl/>
              <w:spacing w:before="120" w:beforeLines="50" w:after="120" w:afterLines="50" w:line="420" w:lineRule="atLeast"/>
              <w:jc w:val="left"/>
              <w:rPr>
                <w:rFonts w:ascii="Times New Roman" w:hAnsi="Times New Roman" w:eastAsia="仿宋" w:cs="Times New Roman"/>
                <w:color w:val="000000"/>
                <w:kern w:val="0"/>
                <w:szCs w:val="21"/>
              </w:rPr>
            </w:pPr>
            <w:r>
              <w:rPr>
                <w:rFonts w:ascii="Times New Roman" w:hAnsi="Times New Roman" w:eastAsia="宋体" w:cs="Times New Roman"/>
                <w:color w:val="333333"/>
                <w:kern w:val="0"/>
                <w:sz w:val="18"/>
                <w:szCs w:val="18"/>
              </w:rPr>
              <w:t xml:space="preserve">Azpetrol Group B.V. </w:t>
            </w:r>
            <w:r>
              <w:rPr>
                <w:rFonts w:ascii="Times New Roman" w:hAnsi="Times New Roman" w:eastAsia="宋体" w:cs="Times New Roman"/>
                <w:color w:val="333333"/>
                <w:kern w:val="0"/>
                <w:sz w:val="18"/>
                <w:szCs w:val="18"/>
                <w:highlight w:val="none"/>
              </w:rPr>
              <w:t>(</w:t>
            </w:r>
            <w:r>
              <w:rPr>
                <w:rFonts w:ascii="Times New Roman" w:hAnsi="Times New Roman" w:eastAsia="宋体" w:cs="Times New Roman"/>
                <w:color w:val="333333"/>
                <w:kern w:val="0"/>
                <w:sz w:val="18"/>
                <w:szCs w:val="18"/>
              </w:rPr>
              <w:t>Dutch</w:t>
            </w:r>
            <w:r>
              <w:rPr>
                <w:rFonts w:ascii="Times New Roman" w:hAnsi="Times New Roman" w:eastAsia="宋体" w:cs="Times New Roman"/>
                <w:color w:val="333333"/>
                <w:kern w:val="0"/>
                <w:sz w:val="18"/>
                <w:szCs w:val="18"/>
                <w:highlight w:val="none"/>
              </w:rPr>
              <w:t>)</w:t>
            </w:r>
            <w:r>
              <w:rPr>
                <w:rFonts w:ascii="Times New Roman" w:hAnsi="Times New Roman" w:eastAsia="宋体" w:cs="Times New Roman"/>
                <w:color w:val="333333"/>
                <w:kern w:val="0"/>
                <w:sz w:val="18"/>
                <w:szCs w:val="18"/>
              </w:rPr>
              <w:t xml:space="preserve">, Azpetrol International Holdings B.V. </w:t>
            </w:r>
            <w:r>
              <w:rPr>
                <w:rFonts w:ascii="Times New Roman" w:hAnsi="Times New Roman" w:eastAsia="宋体" w:cs="Times New Roman"/>
                <w:color w:val="333333"/>
                <w:kern w:val="0"/>
                <w:sz w:val="18"/>
                <w:szCs w:val="18"/>
                <w:highlight w:val="none"/>
              </w:rPr>
              <w:t>(</w:t>
            </w:r>
            <w:r>
              <w:rPr>
                <w:rFonts w:ascii="Times New Roman" w:hAnsi="Times New Roman" w:eastAsia="宋体" w:cs="Times New Roman"/>
                <w:color w:val="333333"/>
                <w:kern w:val="0"/>
                <w:sz w:val="18"/>
                <w:szCs w:val="18"/>
              </w:rPr>
              <w:t>Dutch</w:t>
            </w:r>
            <w:r>
              <w:rPr>
                <w:rFonts w:ascii="Times New Roman" w:hAnsi="Times New Roman" w:eastAsia="宋体" w:cs="Times New Roman"/>
                <w:color w:val="333333"/>
                <w:kern w:val="0"/>
                <w:sz w:val="18"/>
                <w:szCs w:val="18"/>
                <w:highlight w:val="none"/>
              </w:rPr>
              <w:t>)</w:t>
            </w:r>
            <w:r>
              <w:rPr>
                <w:rFonts w:ascii="Times New Roman" w:hAnsi="Times New Roman" w:eastAsia="宋体" w:cs="Times New Roman"/>
                <w:color w:val="333333"/>
                <w:kern w:val="0"/>
                <w:sz w:val="18"/>
                <w:szCs w:val="18"/>
              </w:rPr>
              <w:t xml:space="preserve">, Azpetrol Oil Services Group B.V. </w:t>
            </w:r>
            <w:r>
              <w:rPr>
                <w:rFonts w:ascii="Times New Roman" w:hAnsi="Times New Roman" w:eastAsia="宋体" w:cs="Times New Roman"/>
                <w:color w:val="333333"/>
                <w:kern w:val="0"/>
                <w:sz w:val="18"/>
                <w:szCs w:val="18"/>
                <w:highlight w:val="none"/>
              </w:rPr>
              <w:t>(</w:t>
            </w:r>
            <w:r>
              <w:rPr>
                <w:rFonts w:ascii="Times New Roman" w:hAnsi="Times New Roman" w:eastAsia="宋体" w:cs="Times New Roman"/>
                <w:color w:val="333333"/>
                <w:kern w:val="0"/>
                <w:sz w:val="18"/>
                <w:szCs w:val="18"/>
              </w:rPr>
              <w:t>Dutch</w:t>
            </w:r>
            <w:r>
              <w:rPr>
                <w:rFonts w:ascii="Times New Roman" w:hAnsi="Times New Roman" w:eastAsia="宋体" w:cs="Times New Roman"/>
                <w:color w:val="333333"/>
                <w:kern w:val="0"/>
                <w:sz w:val="18"/>
                <w:szCs w:val="18"/>
                <w:highlight w:val="none"/>
              </w:rPr>
              <w:t>)</w:t>
            </w:r>
          </w:p>
        </w:tc>
        <w:tc>
          <w:tcPr>
            <w:tcW w:w="1134"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2006</w:t>
            </w:r>
            <w:r>
              <w:rPr>
                <w:rFonts w:hint="eastAsia" w:ascii="Times New Roman" w:hAnsi="Times New Roman" w:eastAsia="仿宋" w:cs="Times New Roman"/>
                <w:color w:val="000000"/>
                <w:kern w:val="0"/>
                <w:szCs w:val="21"/>
              </w:rPr>
              <w:t>.</w:t>
            </w:r>
            <w:r>
              <w:rPr>
                <w:rFonts w:ascii="Times New Roman" w:hAnsi="Times New Roman" w:eastAsia="仿宋" w:cs="Times New Roman"/>
                <w:color w:val="000000"/>
                <w:kern w:val="0"/>
                <w:szCs w:val="21"/>
              </w:rPr>
              <w:t>8.30</w:t>
            </w:r>
          </w:p>
        </w:tc>
        <w:tc>
          <w:tcPr>
            <w:tcW w:w="1732"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能源宪章条约</w:t>
            </w:r>
          </w:p>
        </w:tc>
        <w:tc>
          <w:tcPr>
            <w:tcW w:w="1058"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bookmarkStart w:id="22" w:name="_Hlk36506993"/>
            <w:r>
              <w:rPr>
                <w:rFonts w:ascii="Times New Roman" w:hAnsi="Times New Roman" w:eastAsia="仿宋" w:cs="Times New Roman"/>
                <w:color w:val="000000"/>
                <w:kern w:val="0"/>
                <w:szCs w:val="21"/>
              </w:rPr>
              <w:t>石油、天然气和采矿</w:t>
            </w:r>
            <w:bookmarkEnd w:id="22"/>
          </w:p>
        </w:tc>
        <w:tc>
          <w:tcPr>
            <w:tcW w:w="969"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20" w:beforeLines="50" w:after="120"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w:t>
            </w:r>
          </w:p>
        </w:tc>
        <w:tc>
          <w:tcPr>
            <w:tcW w:w="1134" w:type="dxa"/>
            <w:vAlign w:val="center"/>
          </w:tcPr>
          <w:p>
            <w:pPr>
              <w:widowControl/>
              <w:spacing w:before="120" w:beforeLines="50" w:after="120" w:afterLines="50" w:line="420" w:lineRule="atLeast"/>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宋体" w:cs="Times New Roman"/>
              </w:rPr>
              <w:t>ARB/06/16</w:t>
            </w:r>
          </w:p>
        </w:tc>
        <w:tc>
          <w:tcPr>
            <w:tcW w:w="1932" w:type="dxa"/>
            <w:vAlign w:val="center"/>
          </w:tcPr>
          <w:p>
            <w:pPr>
              <w:widowControl/>
              <w:spacing w:before="120" w:beforeLines="50" w:after="120" w:afterLines="50" w:line="420" w:lineRule="atLeast"/>
              <w:jc w:val="left"/>
              <w:rPr>
                <w:rFonts w:ascii="Times New Roman" w:hAnsi="Times New Roman" w:eastAsia="仿宋" w:cs="Times New Roman"/>
                <w:color w:val="000000"/>
                <w:kern w:val="0"/>
                <w:szCs w:val="21"/>
              </w:rPr>
            </w:pPr>
            <w:r>
              <w:rPr>
                <w:rFonts w:ascii="Times New Roman" w:hAnsi="Times New Roman" w:eastAsia="宋体" w:cs="Times New Roman"/>
                <w:color w:val="333333"/>
                <w:kern w:val="0"/>
                <w:sz w:val="18"/>
                <w:szCs w:val="18"/>
              </w:rPr>
              <w:t xml:space="preserve">Barmek Holding A.S. </w:t>
            </w:r>
            <w:r>
              <w:rPr>
                <w:rFonts w:ascii="Times New Roman" w:hAnsi="Times New Roman" w:eastAsia="宋体" w:cs="Times New Roman"/>
                <w:color w:val="333333"/>
                <w:kern w:val="0"/>
                <w:sz w:val="18"/>
                <w:szCs w:val="18"/>
                <w:highlight w:val="none"/>
              </w:rPr>
              <w:t>(</w:t>
            </w:r>
            <w:r>
              <w:rPr>
                <w:rFonts w:ascii="Times New Roman" w:hAnsi="Times New Roman" w:eastAsia="宋体" w:cs="Times New Roman"/>
                <w:color w:val="333333"/>
                <w:kern w:val="0"/>
                <w:sz w:val="18"/>
                <w:szCs w:val="18"/>
              </w:rPr>
              <w:t>Turkish</w:t>
            </w:r>
            <w:r>
              <w:rPr>
                <w:rFonts w:ascii="Times New Roman" w:hAnsi="Times New Roman" w:eastAsia="宋体" w:cs="Times New Roman"/>
                <w:color w:val="333333"/>
                <w:kern w:val="0"/>
                <w:sz w:val="18"/>
                <w:szCs w:val="18"/>
                <w:highlight w:val="none"/>
              </w:rPr>
              <w:t>)</w:t>
            </w:r>
          </w:p>
        </w:tc>
        <w:tc>
          <w:tcPr>
            <w:tcW w:w="1134" w:type="dxa"/>
            <w:vAlign w:val="center"/>
          </w:tcPr>
          <w:p>
            <w:pPr>
              <w:widowControl/>
              <w:spacing w:before="120" w:beforeLines="50" w:after="120" w:afterLines="50" w:line="420" w:lineRule="atLeast"/>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2006.10.16</w:t>
            </w:r>
          </w:p>
        </w:tc>
        <w:tc>
          <w:tcPr>
            <w:tcW w:w="1732"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1994年土耳其-阿塞拜疆BIT；合同</w:t>
            </w:r>
          </w:p>
        </w:tc>
        <w:tc>
          <w:tcPr>
            <w:tcW w:w="1058"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电力</w:t>
            </w:r>
          </w:p>
        </w:tc>
        <w:tc>
          <w:tcPr>
            <w:tcW w:w="969"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20" w:beforeLines="50" w:after="120"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3</w:t>
            </w:r>
          </w:p>
        </w:tc>
        <w:tc>
          <w:tcPr>
            <w:tcW w:w="1134" w:type="dxa"/>
            <w:vAlign w:val="center"/>
          </w:tcPr>
          <w:p>
            <w:pPr>
              <w:widowControl/>
              <w:spacing w:before="120" w:beforeLines="50" w:after="120" w:afterLines="50" w:line="420" w:lineRule="atLeast"/>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宋体" w:cs="Times New Roman"/>
              </w:rPr>
              <w:t>ARB/07/1</w:t>
            </w:r>
          </w:p>
        </w:tc>
        <w:tc>
          <w:tcPr>
            <w:tcW w:w="1932" w:type="dxa"/>
            <w:vAlign w:val="center"/>
          </w:tcPr>
          <w:p>
            <w:pPr>
              <w:widowControl/>
              <w:spacing w:before="120" w:beforeLines="50" w:after="120" w:afterLines="50" w:line="420" w:lineRule="atLeast"/>
              <w:jc w:val="left"/>
              <w:rPr>
                <w:rFonts w:ascii="Times New Roman" w:hAnsi="Times New Roman" w:eastAsia="仿宋" w:cs="Times New Roman"/>
                <w:color w:val="000000"/>
                <w:kern w:val="0"/>
                <w:szCs w:val="21"/>
              </w:rPr>
            </w:pPr>
            <w:r>
              <w:rPr>
                <w:rFonts w:ascii="Times New Roman" w:hAnsi="Times New Roman" w:eastAsia="宋体" w:cs="Times New Roman"/>
                <w:color w:val="333333"/>
                <w:kern w:val="0"/>
                <w:sz w:val="18"/>
                <w:szCs w:val="18"/>
              </w:rPr>
              <w:t xml:space="preserve">Fondel Metal Participations B.V. </w:t>
            </w:r>
            <w:r>
              <w:rPr>
                <w:rFonts w:ascii="Times New Roman" w:hAnsi="Times New Roman" w:eastAsia="宋体" w:cs="Times New Roman"/>
                <w:color w:val="333333"/>
                <w:kern w:val="0"/>
                <w:sz w:val="18"/>
                <w:szCs w:val="18"/>
                <w:highlight w:val="none"/>
              </w:rPr>
              <w:t>(</w:t>
            </w:r>
            <w:r>
              <w:rPr>
                <w:rFonts w:ascii="Times New Roman" w:hAnsi="Times New Roman" w:eastAsia="宋体" w:cs="Times New Roman"/>
                <w:color w:val="333333"/>
                <w:kern w:val="0"/>
                <w:sz w:val="18"/>
                <w:szCs w:val="18"/>
              </w:rPr>
              <w:t>Dutch</w:t>
            </w:r>
            <w:r>
              <w:rPr>
                <w:rFonts w:ascii="Times New Roman" w:hAnsi="Times New Roman" w:eastAsia="宋体" w:cs="Times New Roman"/>
                <w:color w:val="333333"/>
                <w:kern w:val="0"/>
                <w:sz w:val="18"/>
                <w:szCs w:val="18"/>
                <w:highlight w:val="none"/>
              </w:rPr>
              <w:t>)</w:t>
            </w:r>
          </w:p>
        </w:tc>
        <w:tc>
          <w:tcPr>
            <w:tcW w:w="1134" w:type="dxa"/>
            <w:vAlign w:val="center"/>
          </w:tcPr>
          <w:p>
            <w:pPr>
              <w:widowControl/>
              <w:spacing w:before="120" w:beforeLines="50" w:after="120" w:afterLines="50" w:line="420" w:lineRule="atLeast"/>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2007.1.9</w:t>
            </w:r>
          </w:p>
        </w:tc>
        <w:tc>
          <w:tcPr>
            <w:tcW w:w="1732"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合同</w:t>
            </w:r>
          </w:p>
        </w:tc>
        <w:tc>
          <w:tcPr>
            <w:tcW w:w="1058"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石油、天然气和采矿</w:t>
            </w:r>
          </w:p>
        </w:tc>
        <w:tc>
          <w:tcPr>
            <w:tcW w:w="969"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20" w:beforeLines="50" w:after="120"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4</w:t>
            </w:r>
          </w:p>
        </w:tc>
        <w:tc>
          <w:tcPr>
            <w:tcW w:w="1134" w:type="dxa"/>
            <w:vAlign w:val="center"/>
          </w:tcPr>
          <w:p>
            <w:pPr>
              <w:widowControl/>
              <w:spacing w:before="120" w:beforeLines="50" w:after="120" w:afterLines="50" w:line="420" w:lineRule="atLeast"/>
              <w:rPr>
                <w:rFonts w:ascii="Times New Roman" w:hAnsi="Times New Roman" w:eastAsia="宋体" w:cs="Times New Roman"/>
              </w:rPr>
            </w:pPr>
            <w:r>
              <w:rPr>
                <w:rFonts w:ascii="Times New Roman" w:hAnsi="Times New Roman" w:eastAsia="宋体" w:cs="Times New Roman"/>
              </w:rPr>
              <w:t>ARB/18/6</w:t>
            </w:r>
          </w:p>
        </w:tc>
        <w:tc>
          <w:tcPr>
            <w:tcW w:w="1932" w:type="dxa"/>
            <w:vAlign w:val="center"/>
          </w:tcPr>
          <w:p>
            <w:pPr>
              <w:widowControl/>
              <w:spacing w:before="120" w:beforeLines="50" w:after="120" w:afterLines="50" w:line="420" w:lineRule="atLeast"/>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xml:space="preserve">Cem Selçuk Ersoy </w:t>
            </w:r>
            <w:r>
              <w:rPr>
                <w:rFonts w:ascii="Times New Roman" w:hAnsi="Times New Roman" w:eastAsia="宋体" w:cs="Times New Roman"/>
                <w:color w:val="333333"/>
                <w:kern w:val="0"/>
                <w:sz w:val="18"/>
                <w:szCs w:val="18"/>
                <w:highlight w:val="none"/>
              </w:rPr>
              <w:t>(</w:t>
            </w:r>
            <w:r>
              <w:rPr>
                <w:rFonts w:ascii="Times New Roman" w:hAnsi="Times New Roman" w:eastAsia="宋体" w:cs="Times New Roman"/>
                <w:color w:val="333333"/>
                <w:kern w:val="0"/>
                <w:sz w:val="18"/>
                <w:szCs w:val="18"/>
              </w:rPr>
              <w:t>Turkish</w:t>
            </w:r>
            <w:r>
              <w:rPr>
                <w:rFonts w:ascii="Times New Roman" w:hAnsi="Times New Roman" w:eastAsia="宋体" w:cs="Times New Roman"/>
                <w:color w:val="333333"/>
                <w:kern w:val="0"/>
                <w:sz w:val="18"/>
                <w:szCs w:val="18"/>
                <w:highlight w:val="none"/>
              </w:rPr>
              <w:t>)</w:t>
            </w:r>
          </w:p>
        </w:tc>
        <w:tc>
          <w:tcPr>
            <w:tcW w:w="1134" w:type="dxa"/>
            <w:vAlign w:val="center"/>
          </w:tcPr>
          <w:p>
            <w:pPr>
              <w:widowControl/>
              <w:spacing w:before="120" w:beforeLines="50" w:after="120" w:afterLines="50" w:line="420" w:lineRule="atLeast"/>
              <w:jc w:val="lef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2018.3.14</w:t>
            </w:r>
          </w:p>
        </w:tc>
        <w:tc>
          <w:tcPr>
            <w:tcW w:w="1732"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1994年土耳其-阿塞拜疆BIT</w:t>
            </w:r>
          </w:p>
        </w:tc>
        <w:tc>
          <w:tcPr>
            <w:tcW w:w="1058"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工程</w:t>
            </w:r>
          </w:p>
        </w:tc>
        <w:tc>
          <w:tcPr>
            <w:tcW w:w="969" w:type="dxa"/>
            <w:vAlign w:val="center"/>
          </w:tcPr>
          <w:p>
            <w:pPr>
              <w:widowControl/>
              <w:spacing w:before="120" w:beforeLines="50" w:after="120" w:afterLines="50" w:line="420" w:lineRule="atLeast"/>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已决</w:t>
            </w:r>
          </w:p>
        </w:tc>
      </w:tr>
    </w:tbl>
    <w:p>
      <w:pPr>
        <w:spacing w:line="360" w:lineRule="auto"/>
        <w:ind w:firstLine="480" w:firstLineChars="200"/>
        <w:rPr>
          <w:rFonts w:ascii="Times New Roman" w:hAnsi="Times New Roman" w:eastAsia="仿宋" w:cs="Times New Roman"/>
          <w:sz w:val="24"/>
          <w:szCs w:val="24"/>
        </w:rPr>
      </w:pP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根据以上信息，自2006年阿塞拜疆首次作为ICSID被申请方的仲裁案件开始，阿塞拜疆作为被申请方的4起仲裁案件均已决。</w:t>
      </w:r>
      <w:bookmarkStart w:id="23" w:name="_Hlk36507077"/>
      <w:r>
        <w:rPr>
          <w:rFonts w:hint="eastAsia" w:ascii="Times New Roman" w:hAnsi="Times New Roman" w:eastAsia="仿宋" w:cs="Times New Roman"/>
          <w:sz w:val="24"/>
          <w:szCs w:val="24"/>
        </w:rPr>
        <w:t>从仲裁案件涉及的领域看，4起仲裁案件中涉及“石油、天然气和采矿”的案件共2起，涉及“工程”、“电力”的案件各1起，这与阿塞拜疆国内大部分外资投向油气领域的现状相对应。</w:t>
      </w:r>
      <w:bookmarkEnd w:id="23"/>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从仲裁案件原因的依据看，4起仲裁案件中，2起仲裁案件为依据1994年土耳其-阿塞拜疆BIT提出，1起仲裁案件为依据《能源宪章条约》提出，1起仲裁案件为依据当事双方签订的合同提出。</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前述4起案件中，I</w:t>
      </w:r>
      <w:r>
        <w:rPr>
          <w:rFonts w:ascii="Times New Roman" w:hAnsi="Times New Roman" w:eastAsia="仿宋" w:cs="Times New Roman"/>
          <w:sz w:val="24"/>
          <w:szCs w:val="24"/>
        </w:rPr>
        <w:t>CSID</w:t>
      </w:r>
      <w:r>
        <w:rPr>
          <w:rFonts w:hint="eastAsia" w:ascii="Times New Roman" w:hAnsi="Times New Roman" w:eastAsia="仿宋" w:cs="Times New Roman"/>
          <w:sz w:val="24"/>
          <w:szCs w:val="24"/>
        </w:rPr>
        <w:t>均未公开相关</w:t>
      </w:r>
      <w:r>
        <w:rPr>
          <w:rFonts w:hint="eastAsia" w:ascii="Times New Roman" w:hAnsi="Times New Roman" w:eastAsia="仿宋" w:cs="Times New Roman"/>
          <w:sz w:val="24"/>
          <w:szCs w:val="24"/>
          <w:highlight w:val="none"/>
        </w:rPr>
        <w:t>仲裁裁决书</w:t>
      </w:r>
      <w:r>
        <w:rPr>
          <w:rFonts w:hint="eastAsia" w:ascii="Times New Roman" w:hAnsi="Times New Roman" w:eastAsia="仿宋" w:cs="Times New Roman"/>
          <w:sz w:val="24"/>
          <w:szCs w:val="24"/>
        </w:rPr>
        <w:t>及案件细节，笔者仅就从联合国贸易和发展会议（</w:t>
      </w:r>
      <w:r>
        <w:rPr>
          <w:rFonts w:ascii="Times New Roman" w:hAnsi="Times New Roman" w:eastAsia="仿宋" w:cs="Times New Roman"/>
          <w:sz w:val="24"/>
          <w:szCs w:val="24"/>
        </w:rPr>
        <w:t>UNCTAD</w:t>
      </w:r>
      <w:r>
        <w:rPr>
          <w:rFonts w:hint="eastAsia" w:ascii="Times New Roman" w:hAnsi="Times New Roman" w:eastAsia="仿宋" w:cs="Times New Roman"/>
          <w:sz w:val="24"/>
          <w:szCs w:val="24"/>
        </w:rPr>
        <w:t>）网站</w:t>
      </w:r>
      <w:r>
        <w:rPr>
          <w:rStyle w:val="18"/>
          <w:rFonts w:ascii="Times New Roman" w:hAnsi="Times New Roman" w:eastAsia="仿宋" w:cs="Times New Roman"/>
          <w:sz w:val="24"/>
          <w:szCs w:val="24"/>
        </w:rPr>
        <w:footnoteReference w:id="10"/>
      </w:r>
      <w:r>
        <w:rPr>
          <w:rFonts w:hint="eastAsia" w:ascii="Times New Roman" w:hAnsi="Times New Roman" w:eastAsia="仿宋" w:cs="Times New Roman"/>
          <w:sz w:val="24"/>
          <w:szCs w:val="24"/>
        </w:rPr>
        <w:t>以及能源宪章条约（E</w:t>
      </w:r>
      <w:r>
        <w:rPr>
          <w:rFonts w:ascii="Times New Roman" w:hAnsi="Times New Roman" w:eastAsia="仿宋" w:cs="Times New Roman"/>
          <w:sz w:val="24"/>
          <w:szCs w:val="24"/>
        </w:rPr>
        <w:t>CT</w:t>
      </w:r>
      <w:r>
        <w:rPr>
          <w:rFonts w:hint="eastAsia" w:ascii="Times New Roman" w:hAnsi="Times New Roman" w:eastAsia="仿宋" w:cs="Times New Roman"/>
          <w:sz w:val="24"/>
          <w:szCs w:val="24"/>
        </w:rPr>
        <w:t>）网站</w:t>
      </w:r>
      <w:r>
        <w:rPr>
          <w:rStyle w:val="18"/>
          <w:rFonts w:ascii="Times New Roman" w:hAnsi="Times New Roman" w:eastAsia="仿宋" w:cs="Times New Roman"/>
          <w:sz w:val="24"/>
          <w:szCs w:val="24"/>
        </w:rPr>
        <w:footnoteReference w:id="11"/>
      </w:r>
      <w:r>
        <w:rPr>
          <w:rFonts w:hint="eastAsia" w:ascii="Times New Roman" w:hAnsi="Times New Roman" w:eastAsia="仿宋" w:cs="Times New Roman"/>
          <w:sz w:val="24"/>
          <w:szCs w:val="24"/>
        </w:rPr>
        <w:t>获取的相关信息对部分仲裁案件的相关事实进行介绍。</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 xml:space="preserve">Azpetrol International Holdings B.V., Azpetrol Group B.V. and Azpetrol Oil Services Group B.V. </w:t>
      </w:r>
      <w:r>
        <w:rPr>
          <w:rFonts w:ascii="Times New Roman" w:hAnsi="Times New Roman" w:eastAsia="仿宋" w:cs="Times New Roman"/>
          <w:sz w:val="24"/>
          <w:szCs w:val="24"/>
          <w:highlight w:val="none"/>
        </w:rPr>
        <w:t>v</w:t>
      </w:r>
      <w:r>
        <w:rPr>
          <w:rFonts w:ascii="Times New Roman" w:hAnsi="Times New Roman" w:eastAsia="仿宋" w:cs="Times New Roman"/>
          <w:sz w:val="24"/>
          <w:szCs w:val="24"/>
        </w:rPr>
        <w:t>. Republic of Azerbaijan</w:t>
      </w:r>
      <w:r>
        <w:rPr>
          <w:rStyle w:val="18"/>
          <w:rFonts w:ascii="Times New Roman" w:hAnsi="Times New Roman" w:eastAsia="仿宋" w:cs="Times New Roman"/>
          <w:sz w:val="24"/>
          <w:szCs w:val="24"/>
        </w:rPr>
        <w:footnoteReference w:id="12"/>
      </w:r>
      <w:r>
        <w:rPr>
          <w:rFonts w:hint="eastAsia" w:ascii="Times New Roman" w:hAnsi="Times New Roman" w:eastAsia="仿宋" w:cs="Times New Roman"/>
          <w:sz w:val="24"/>
          <w:szCs w:val="24"/>
        </w:rPr>
        <w:t>一案中，仲裁申请由阿塞拜疆国民在荷兰</w:t>
      </w:r>
      <w:bookmarkStart w:id="24" w:name="_Hlk36519397"/>
      <w:r>
        <w:rPr>
          <w:rFonts w:hint="eastAsia" w:ascii="Times New Roman" w:hAnsi="Times New Roman" w:eastAsia="仿宋" w:cs="Times New Roman"/>
          <w:sz w:val="24"/>
          <w:szCs w:val="24"/>
        </w:rPr>
        <w:t>投资设立</w:t>
      </w:r>
      <w:bookmarkEnd w:id="24"/>
      <w:r>
        <w:rPr>
          <w:rFonts w:hint="eastAsia" w:ascii="Times New Roman" w:hAnsi="Times New Roman" w:eastAsia="仿宋" w:cs="Times New Roman"/>
          <w:sz w:val="24"/>
          <w:szCs w:val="24"/>
        </w:rPr>
        <w:t>的三家公司</w:t>
      </w:r>
      <w:r>
        <w:rPr>
          <w:rFonts w:ascii="Times New Roman" w:hAnsi="Times New Roman" w:eastAsia="仿宋" w:cs="Times New Roman"/>
          <w:sz w:val="24"/>
          <w:szCs w:val="24"/>
        </w:rPr>
        <w:t>Azpetrol International Holdings B.V.</w:t>
      </w:r>
      <w:r>
        <w:rPr>
          <w:rFonts w:hint="eastAsia" w:ascii="Times New Roman" w:hAnsi="Times New Roman" w:eastAsia="仿宋" w:cs="Times New Roman"/>
          <w:sz w:val="24"/>
          <w:szCs w:val="24"/>
        </w:rPr>
        <w:t>（以下简称“</w:t>
      </w:r>
      <w:r>
        <w:rPr>
          <w:rFonts w:ascii="Times New Roman" w:hAnsi="Times New Roman" w:eastAsia="仿宋" w:cs="Times New Roman"/>
          <w:b/>
          <w:bCs/>
          <w:sz w:val="24"/>
          <w:szCs w:val="24"/>
        </w:rPr>
        <w:t>Azpetrol</w:t>
      </w:r>
      <w:r>
        <w:rPr>
          <w:rFonts w:hint="eastAsia" w:ascii="Times New Roman" w:hAnsi="Times New Roman" w:eastAsia="仿宋" w:cs="Times New Roman"/>
          <w:b/>
          <w:bCs/>
          <w:sz w:val="24"/>
          <w:szCs w:val="24"/>
        </w:rPr>
        <w:t>国际控股</w:t>
      </w:r>
      <w:r>
        <w:rPr>
          <w:rFonts w:hint="eastAsia" w:ascii="Times New Roman" w:hAnsi="Times New Roman" w:eastAsia="仿宋" w:cs="Times New Roman"/>
          <w:sz w:val="24"/>
          <w:szCs w:val="24"/>
        </w:rPr>
        <w:t>”）、</w:t>
      </w:r>
      <w:r>
        <w:rPr>
          <w:rFonts w:ascii="Times New Roman" w:hAnsi="Times New Roman" w:eastAsia="仿宋" w:cs="Times New Roman"/>
          <w:sz w:val="24"/>
          <w:szCs w:val="24"/>
        </w:rPr>
        <w:t>Azpetrol Group B.V.</w:t>
      </w:r>
      <w:r>
        <w:rPr>
          <w:rFonts w:hint="eastAsia" w:ascii="Times New Roman" w:hAnsi="Times New Roman" w:eastAsia="仿宋" w:cs="Times New Roman"/>
          <w:sz w:val="24"/>
          <w:szCs w:val="24"/>
        </w:rPr>
        <w:t>和</w:t>
      </w:r>
      <w:r>
        <w:rPr>
          <w:rFonts w:ascii="Times New Roman" w:hAnsi="Times New Roman" w:eastAsia="仿宋" w:cs="Times New Roman"/>
          <w:sz w:val="24"/>
          <w:szCs w:val="24"/>
        </w:rPr>
        <w:t>Azpetrol Oil Services Group B.V.</w:t>
      </w:r>
      <w:r>
        <w:rPr>
          <w:rFonts w:hint="eastAsia" w:ascii="Times New Roman" w:hAnsi="Times New Roman" w:eastAsia="仿宋" w:cs="Times New Roman"/>
          <w:sz w:val="24"/>
          <w:szCs w:val="24"/>
        </w:rPr>
        <w:t>提起，该三家公司主要从事石油和天然气的分销、贸易、储存和运输业务。“Azpetrol国际控股”指控其在阿塞拜疆一家当地公司持有的股份受到了损失，原因在于阿塞拜疆一家法院判决“Azpetrol国际控股”最初的《股权收购协议》无效，并判决将其在当地公司取得的股权返还给股权的原所有权人。</w:t>
      </w:r>
      <w:bookmarkStart w:id="25" w:name="_Hlk36514973"/>
      <w:r>
        <w:rPr>
          <w:rFonts w:hint="eastAsia" w:ascii="Times New Roman" w:hAnsi="Times New Roman" w:eastAsia="仿宋" w:cs="Times New Roman"/>
          <w:sz w:val="24"/>
          <w:szCs w:val="24"/>
        </w:rPr>
        <w:t>阿塞拜疆政府被申请方指控违反了《</w:t>
      </w:r>
      <w:bookmarkStart w:id="26" w:name="_Hlk37434663"/>
      <w:r>
        <w:rPr>
          <w:rFonts w:hint="eastAsia" w:ascii="Times New Roman" w:hAnsi="Times New Roman" w:eastAsia="仿宋" w:cs="Times New Roman"/>
          <w:sz w:val="24"/>
          <w:szCs w:val="24"/>
        </w:rPr>
        <w:t>能源宪章条约</w:t>
      </w:r>
      <w:bookmarkEnd w:id="26"/>
      <w:r>
        <w:rPr>
          <w:rFonts w:hint="eastAsia" w:ascii="Times New Roman" w:hAnsi="Times New Roman" w:eastAsia="仿宋" w:cs="Times New Roman"/>
          <w:sz w:val="24"/>
          <w:szCs w:val="24"/>
        </w:rPr>
        <w:t>》第1</w:t>
      </w:r>
      <w:r>
        <w:rPr>
          <w:rFonts w:ascii="Times New Roman" w:hAnsi="Times New Roman" w:eastAsia="仿宋" w:cs="Times New Roman"/>
          <w:sz w:val="24"/>
          <w:szCs w:val="24"/>
        </w:rPr>
        <w:t>0.1</w:t>
      </w:r>
      <w:r>
        <w:rPr>
          <w:rFonts w:hint="eastAsia" w:ascii="Times New Roman" w:hAnsi="Times New Roman" w:eastAsia="仿宋" w:cs="Times New Roman"/>
          <w:sz w:val="24"/>
          <w:szCs w:val="24"/>
        </w:rPr>
        <w:t>条关于“公平和公正待遇”、第1</w:t>
      </w:r>
      <w:r>
        <w:rPr>
          <w:rFonts w:ascii="Times New Roman" w:hAnsi="Times New Roman" w:eastAsia="仿宋" w:cs="Times New Roman"/>
          <w:sz w:val="24"/>
          <w:szCs w:val="24"/>
        </w:rPr>
        <w:t>3.1</w:t>
      </w:r>
      <w:r>
        <w:rPr>
          <w:rFonts w:hint="eastAsia" w:ascii="Times New Roman" w:hAnsi="Times New Roman" w:eastAsia="仿宋" w:cs="Times New Roman"/>
          <w:sz w:val="24"/>
          <w:szCs w:val="24"/>
        </w:rPr>
        <w:t>条关于“间接征收”</w:t>
      </w:r>
      <w:bookmarkEnd w:id="25"/>
      <w:r>
        <w:rPr>
          <w:rFonts w:hint="eastAsia" w:ascii="Times New Roman" w:hAnsi="Times New Roman" w:eastAsia="仿宋" w:cs="Times New Roman"/>
          <w:sz w:val="24"/>
          <w:szCs w:val="24"/>
        </w:rPr>
        <w:t>、第1</w:t>
      </w:r>
      <w:r>
        <w:rPr>
          <w:rFonts w:ascii="Times New Roman" w:hAnsi="Times New Roman" w:eastAsia="仿宋" w:cs="Times New Roman"/>
          <w:sz w:val="24"/>
          <w:szCs w:val="24"/>
        </w:rPr>
        <w:t>4</w:t>
      </w:r>
      <w:r>
        <w:rPr>
          <w:rFonts w:hint="eastAsia" w:ascii="Times New Roman" w:hAnsi="Times New Roman" w:eastAsia="仿宋" w:cs="Times New Roman"/>
          <w:sz w:val="24"/>
          <w:szCs w:val="24"/>
        </w:rPr>
        <w:t>条关于“资金转移”等相关条款。仲裁庭认为，申请方和被申请方于2008年12月16日以互发电子邮件的形式达成了关于解决所有争议</w:t>
      </w:r>
      <w:r>
        <w:rPr>
          <w:rFonts w:hint="eastAsia" w:ascii="Times New Roman" w:hAnsi="Times New Roman" w:eastAsia="仿宋" w:cs="Times New Roman"/>
          <w:sz w:val="24"/>
          <w:szCs w:val="24"/>
          <w:highlight w:val="none"/>
        </w:rPr>
        <w:t>的对</w:t>
      </w:r>
      <w:r>
        <w:rPr>
          <w:rFonts w:hint="eastAsia" w:ascii="Times New Roman" w:hAnsi="Times New Roman" w:eastAsia="仿宋" w:cs="Times New Roman"/>
          <w:sz w:val="24"/>
          <w:szCs w:val="24"/>
        </w:rPr>
        <w:t>双方均具有约束力的协议，双方达成和解后不存在依据《I</w:t>
      </w:r>
      <w:r>
        <w:rPr>
          <w:rFonts w:ascii="Times New Roman" w:hAnsi="Times New Roman" w:eastAsia="仿宋" w:cs="Times New Roman"/>
          <w:sz w:val="24"/>
          <w:szCs w:val="24"/>
        </w:rPr>
        <w:t>CSID</w:t>
      </w:r>
      <w:r>
        <w:rPr>
          <w:rFonts w:hint="eastAsia" w:ascii="Times New Roman" w:hAnsi="Times New Roman" w:eastAsia="仿宋" w:cs="Times New Roman"/>
          <w:sz w:val="24"/>
          <w:szCs w:val="24"/>
        </w:rPr>
        <w:t>公约》第25</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1</w:t>
      </w:r>
      <w:r>
        <w:rPr>
          <w:rFonts w:hint="eastAsia" w:ascii="Times New Roman" w:hAnsi="Times New Roman" w:eastAsia="仿宋" w:cs="Times New Roman"/>
          <w:sz w:val="24"/>
          <w:szCs w:val="24"/>
          <w:highlight w:val="none"/>
        </w:rPr>
        <w:t>)</w:t>
      </w:r>
      <w:r>
        <w:rPr>
          <w:rFonts w:hint="eastAsia" w:ascii="Times New Roman" w:hAnsi="Times New Roman" w:eastAsia="仿宋" w:cs="Times New Roman"/>
          <w:sz w:val="24"/>
          <w:szCs w:val="24"/>
        </w:rPr>
        <w:t>条所要求的法律争端，因此仲裁庭不具有对该案仲裁申请的管辖权。</w:t>
      </w:r>
      <w:r>
        <w:rPr>
          <w:rFonts w:ascii="Times New Roman" w:hAnsi="Times New Roman" w:eastAsia="仿宋" w:cs="Times New Roman"/>
          <w:sz w:val="24"/>
          <w:szCs w:val="24"/>
        </w:rPr>
        <w:t>2009</w:t>
      </w:r>
      <w:r>
        <w:rPr>
          <w:rFonts w:hint="eastAsia" w:ascii="Times New Roman" w:hAnsi="Times New Roman" w:eastAsia="仿宋" w:cs="Times New Roman"/>
          <w:sz w:val="24"/>
          <w:szCs w:val="24"/>
        </w:rPr>
        <w:t>年</w:t>
      </w:r>
      <w:r>
        <w:rPr>
          <w:rFonts w:ascii="Times New Roman" w:hAnsi="Times New Roman" w:eastAsia="仿宋" w:cs="Times New Roman"/>
          <w:sz w:val="24"/>
          <w:szCs w:val="24"/>
        </w:rPr>
        <w:t>9</w:t>
      </w:r>
      <w:r>
        <w:rPr>
          <w:rFonts w:hint="eastAsia" w:ascii="Times New Roman" w:hAnsi="Times New Roman" w:eastAsia="仿宋" w:cs="Times New Roman"/>
          <w:sz w:val="24"/>
          <w:szCs w:val="24"/>
        </w:rPr>
        <w:t>月</w:t>
      </w:r>
      <w:r>
        <w:rPr>
          <w:rFonts w:ascii="Times New Roman" w:hAnsi="Times New Roman" w:eastAsia="仿宋" w:cs="Times New Roman"/>
          <w:sz w:val="24"/>
          <w:szCs w:val="24"/>
        </w:rPr>
        <w:t>8</w:t>
      </w:r>
      <w:r>
        <w:rPr>
          <w:rFonts w:hint="eastAsia" w:ascii="Times New Roman" w:hAnsi="Times New Roman" w:eastAsia="仿宋" w:cs="Times New Roman"/>
          <w:sz w:val="24"/>
          <w:szCs w:val="24"/>
        </w:rPr>
        <w:t>日，仲裁庭以缺乏管辖权为由裁决驳回该案的仲裁申请。</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Barmek Holding A.S. v. Republic of Azerbaijan</w:t>
      </w:r>
      <w:r>
        <w:rPr>
          <w:rStyle w:val="18"/>
          <w:rFonts w:ascii="Times New Roman" w:hAnsi="Times New Roman" w:eastAsia="仿宋" w:cs="Times New Roman"/>
          <w:sz w:val="24"/>
          <w:szCs w:val="24"/>
        </w:rPr>
        <w:footnoteReference w:id="13"/>
      </w:r>
      <w:r>
        <w:rPr>
          <w:rFonts w:ascii="Times New Roman" w:hAnsi="Times New Roman" w:eastAsia="仿宋" w:cs="Times New Roman"/>
          <w:sz w:val="24"/>
          <w:szCs w:val="24"/>
        </w:rPr>
        <w:t xml:space="preserve"> </w:t>
      </w:r>
      <w:r>
        <w:rPr>
          <w:rFonts w:hint="eastAsia" w:ascii="Times New Roman" w:hAnsi="Times New Roman" w:eastAsia="仿宋" w:cs="Times New Roman"/>
          <w:sz w:val="24"/>
          <w:szCs w:val="24"/>
        </w:rPr>
        <w:t>一案中，仲裁申请起因于土耳其投资者</w:t>
      </w:r>
      <w:r>
        <w:rPr>
          <w:rFonts w:ascii="Times New Roman" w:hAnsi="Times New Roman" w:eastAsia="仿宋" w:cs="Times New Roman"/>
          <w:sz w:val="24"/>
          <w:szCs w:val="24"/>
        </w:rPr>
        <w:t>Barmek Holding A.S.</w:t>
      </w:r>
      <w:r>
        <w:rPr>
          <w:rFonts w:hint="eastAsia" w:ascii="Times New Roman" w:hAnsi="Times New Roman" w:eastAsia="仿宋" w:cs="Times New Roman"/>
          <w:sz w:val="24"/>
          <w:szCs w:val="24"/>
        </w:rPr>
        <w:t>（以下简称</w:t>
      </w:r>
      <w:bookmarkStart w:id="27" w:name="_Hlk36541620"/>
      <w:r>
        <w:rPr>
          <w:rFonts w:hint="eastAsia" w:ascii="Times New Roman" w:hAnsi="Times New Roman" w:eastAsia="仿宋" w:cs="Times New Roman"/>
          <w:sz w:val="24"/>
          <w:szCs w:val="24"/>
        </w:rPr>
        <w:t>“</w:t>
      </w:r>
      <w:r>
        <w:rPr>
          <w:rFonts w:ascii="Times New Roman" w:hAnsi="Times New Roman" w:eastAsia="仿宋" w:cs="Times New Roman"/>
          <w:b/>
          <w:bCs/>
          <w:sz w:val="24"/>
          <w:szCs w:val="24"/>
        </w:rPr>
        <w:t xml:space="preserve">Barmek </w:t>
      </w:r>
      <w:r>
        <w:rPr>
          <w:rFonts w:hint="eastAsia" w:ascii="Times New Roman" w:hAnsi="Times New Roman" w:eastAsia="仿宋" w:cs="Times New Roman"/>
          <w:b/>
          <w:bCs/>
          <w:sz w:val="24"/>
          <w:szCs w:val="24"/>
        </w:rPr>
        <w:t>控股</w:t>
      </w:r>
      <w:r>
        <w:rPr>
          <w:rFonts w:hint="eastAsia" w:ascii="Times New Roman" w:hAnsi="Times New Roman" w:eastAsia="仿宋" w:cs="Times New Roman"/>
          <w:sz w:val="24"/>
          <w:szCs w:val="24"/>
        </w:rPr>
        <w:t>”</w:t>
      </w:r>
      <w:bookmarkEnd w:id="27"/>
      <w:r>
        <w:rPr>
          <w:rFonts w:hint="eastAsia" w:ascii="Times New Roman" w:hAnsi="Times New Roman" w:eastAsia="仿宋" w:cs="Times New Roman"/>
          <w:sz w:val="24"/>
          <w:szCs w:val="24"/>
        </w:rPr>
        <w:t>）与阿塞拜疆政府之间订立的一份关于“</w:t>
      </w:r>
      <w:r>
        <w:rPr>
          <w:rFonts w:ascii="Times New Roman" w:hAnsi="Times New Roman" w:eastAsia="仿宋" w:cs="Times New Roman"/>
          <w:sz w:val="24"/>
          <w:szCs w:val="24"/>
        </w:rPr>
        <w:t xml:space="preserve">Barmek </w:t>
      </w:r>
      <w:r>
        <w:rPr>
          <w:rFonts w:hint="eastAsia" w:ascii="Times New Roman" w:hAnsi="Times New Roman" w:eastAsia="仿宋" w:cs="Times New Roman"/>
          <w:sz w:val="24"/>
          <w:szCs w:val="24"/>
        </w:rPr>
        <w:t>控股</w:t>
      </w:r>
      <w:r>
        <w:rPr>
          <w:rFonts w:ascii="Times New Roman" w:hAnsi="Times New Roman" w:eastAsia="仿宋" w:cs="Times New Roman"/>
          <w:sz w:val="24"/>
          <w:szCs w:val="24"/>
        </w:rPr>
        <w:t>”</w:t>
      </w:r>
      <w:r>
        <w:rPr>
          <w:rFonts w:hint="eastAsia" w:ascii="Times New Roman" w:hAnsi="Times New Roman" w:eastAsia="仿宋" w:cs="Times New Roman"/>
          <w:sz w:val="24"/>
          <w:szCs w:val="24"/>
        </w:rPr>
        <w:t>在巴库市和苏姆加伊特市获得25年供电服务特许经营权的合同；合同履行过程中，“</w:t>
      </w:r>
      <w:r>
        <w:rPr>
          <w:rFonts w:ascii="Times New Roman" w:hAnsi="Times New Roman" w:eastAsia="仿宋" w:cs="Times New Roman"/>
          <w:sz w:val="24"/>
          <w:szCs w:val="24"/>
        </w:rPr>
        <w:t xml:space="preserve">Barmek </w:t>
      </w:r>
      <w:r>
        <w:rPr>
          <w:rFonts w:hint="eastAsia" w:ascii="Times New Roman" w:hAnsi="Times New Roman" w:eastAsia="仿宋" w:cs="Times New Roman"/>
          <w:sz w:val="24"/>
          <w:szCs w:val="24"/>
        </w:rPr>
        <w:t>控股</w:t>
      </w:r>
      <w:r>
        <w:rPr>
          <w:rFonts w:ascii="Times New Roman" w:hAnsi="Times New Roman" w:eastAsia="仿宋" w:cs="Times New Roman"/>
          <w:sz w:val="24"/>
          <w:szCs w:val="24"/>
        </w:rPr>
        <w:t>”</w:t>
      </w:r>
      <w:r>
        <w:rPr>
          <w:rFonts w:hint="eastAsia" w:ascii="Times New Roman" w:hAnsi="Times New Roman" w:eastAsia="仿宋" w:cs="Times New Roman"/>
          <w:sz w:val="24"/>
          <w:szCs w:val="24"/>
        </w:rPr>
        <w:t>的经理被提起阿塞拜疆公权力机关提起贪污、滥用职权和非法售电的刑事指控，“</w:t>
      </w:r>
      <w:r>
        <w:rPr>
          <w:rFonts w:ascii="Times New Roman" w:hAnsi="Times New Roman" w:eastAsia="仿宋" w:cs="Times New Roman"/>
          <w:sz w:val="24"/>
          <w:szCs w:val="24"/>
        </w:rPr>
        <w:t xml:space="preserve">Barmek </w:t>
      </w:r>
      <w:r>
        <w:rPr>
          <w:rFonts w:hint="eastAsia" w:ascii="Times New Roman" w:hAnsi="Times New Roman" w:eastAsia="仿宋" w:cs="Times New Roman"/>
          <w:sz w:val="24"/>
          <w:szCs w:val="24"/>
        </w:rPr>
        <w:t>控股</w:t>
      </w:r>
      <w:r>
        <w:rPr>
          <w:rFonts w:ascii="Times New Roman" w:hAnsi="Times New Roman" w:eastAsia="仿宋" w:cs="Times New Roman"/>
          <w:sz w:val="24"/>
          <w:szCs w:val="24"/>
        </w:rPr>
        <w:t>”</w:t>
      </w:r>
      <w:r>
        <w:rPr>
          <w:rFonts w:hint="eastAsia" w:ascii="Times New Roman" w:hAnsi="Times New Roman" w:eastAsia="仿宋" w:cs="Times New Roman"/>
          <w:sz w:val="24"/>
          <w:szCs w:val="24"/>
        </w:rPr>
        <w:t>基于“供电服务合同”获得的特许权亦被阿塞拜疆政府取消。阿塞拜疆政府被申请方指控采取了间接征收措施，该案因当事双方达成和解于2009年9月28日被仲裁庭终止仲裁程序。</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Cem Selçuk Ersoy v. Republic of Azerbaijan</w:t>
      </w:r>
      <w:r>
        <w:rPr>
          <w:rStyle w:val="18"/>
          <w:rFonts w:ascii="Times New Roman" w:hAnsi="Times New Roman" w:eastAsia="仿宋" w:cs="Times New Roman"/>
          <w:sz w:val="24"/>
          <w:szCs w:val="24"/>
        </w:rPr>
        <w:footnoteReference w:id="14"/>
      </w:r>
      <w:r>
        <w:rPr>
          <w:rFonts w:hint="eastAsia" w:ascii="Times New Roman" w:hAnsi="Times New Roman" w:eastAsia="仿宋" w:cs="Times New Roman"/>
          <w:sz w:val="24"/>
          <w:szCs w:val="24"/>
        </w:rPr>
        <w:t>一案中，土耳其的自然人投资者</w:t>
      </w:r>
      <w:r>
        <w:rPr>
          <w:rFonts w:ascii="Times New Roman" w:hAnsi="Times New Roman" w:eastAsia="仿宋" w:cs="Times New Roman"/>
          <w:sz w:val="24"/>
          <w:szCs w:val="24"/>
        </w:rPr>
        <w:t>Cem Selçuk Ersoy</w:t>
      </w:r>
      <w:r>
        <w:rPr>
          <w:rFonts w:hint="eastAsia" w:ascii="Times New Roman" w:hAnsi="Times New Roman" w:eastAsia="仿宋" w:cs="Times New Roman"/>
          <w:sz w:val="24"/>
          <w:szCs w:val="24"/>
        </w:rPr>
        <w:t>在阿塞拜疆当地设立了一家公司，该公司签署了关于在巴库市建造集水隧道和污水隧道的“建设施工合同”。申请人指控阿塞拜疆当地的水利部门和税务部门对申请人在隧道建设项目的投资施加了不公正待遇和间接征收措施。2020年3月2日，因双方达成和解，I</w:t>
      </w:r>
      <w:r>
        <w:rPr>
          <w:rFonts w:ascii="Times New Roman" w:hAnsi="Times New Roman" w:eastAsia="仿宋" w:cs="Times New Roman"/>
          <w:sz w:val="24"/>
          <w:szCs w:val="24"/>
        </w:rPr>
        <w:t>CSID</w:t>
      </w:r>
      <w:r>
        <w:rPr>
          <w:rFonts w:hint="eastAsia" w:ascii="Times New Roman" w:hAnsi="Times New Roman" w:eastAsia="仿宋" w:cs="Times New Roman"/>
          <w:sz w:val="24"/>
          <w:szCs w:val="24"/>
        </w:rPr>
        <w:t>仲裁庭终止了该案的仲裁程序。</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结合以上阿塞拜疆在I</w:t>
      </w:r>
      <w:r>
        <w:rPr>
          <w:rFonts w:ascii="Times New Roman" w:hAnsi="Times New Roman" w:eastAsia="仿宋" w:cs="Times New Roman"/>
          <w:sz w:val="24"/>
          <w:szCs w:val="24"/>
        </w:rPr>
        <w:t>CSID</w:t>
      </w:r>
      <w:r>
        <w:rPr>
          <w:rFonts w:hint="eastAsia" w:ascii="Times New Roman" w:hAnsi="Times New Roman" w:eastAsia="仿宋" w:cs="Times New Roman"/>
          <w:sz w:val="24"/>
          <w:szCs w:val="24"/>
        </w:rPr>
        <w:t>的仲裁案件分析，虽然阿塞拜疆对外签订的B</w:t>
      </w:r>
      <w:r>
        <w:rPr>
          <w:rFonts w:ascii="Times New Roman" w:hAnsi="Times New Roman" w:eastAsia="仿宋" w:cs="Times New Roman"/>
          <w:sz w:val="24"/>
          <w:szCs w:val="24"/>
        </w:rPr>
        <w:t>IT</w:t>
      </w:r>
      <w:r>
        <w:rPr>
          <w:rFonts w:hint="eastAsia" w:ascii="Times New Roman" w:hAnsi="Times New Roman" w:eastAsia="仿宋" w:cs="Times New Roman"/>
          <w:sz w:val="24"/>
          <w:szCs w:val="24"/>
        </w:rPr>
        <w:t>及其国内法均对外国投资的国有化或直接征收措施作出了限制，但前述案例中阿塞拜疆的政府均被外国投资者指控采取了间接征收措施，剥夺了外国投资者的财产或财产权利；阿塞拜疆国内的政府部门和司法机构的公正性和非歧视性亦在一定程度上受到外国投资者的质疑。我国拟在阿塞拜疆开展投资的投资者应注意事先调查和评估阿塞拜疆国内的政治风险和法律环境风险；遵守阿塞拜疆国内法律规定的同时，充分利用</w:t>
      </w:r>
      <w:bookmarkStart w:id="28" w:name="_Hlk36545101"/>
      <w:r>
        <w:rPr>
          <w:rFonts w:hint="eastAsia" w:ascii="Times New Roman" w:hAnsi="Times New Roman" w:eastAsia="仿宋" w:cs="Times New Roman"/>
          <w:sz w:val="24"/>
          <w:szCs w:val="24"/>
        </w:rPr>
        <w:t>中阿B</w:t>
      </w:r>
      <w:r>
        <w:rPr>
          <w:rFonts w:ascii="Times New Roman" w:hAnsi="Times New Roman" w:eastAsia="仿宋" w:cs="Times New Roman"/>
          <w:sz w:val="24"/>
          <w:szCs w:val="24"/>
        </w:rPr>
        <w:t>IT</w:t>
      </w:r>
      <w:r>
        <w:rPr>
          <w:rFonts w:hint="eastAsia" w:ascii="Times New Roman" w:hAnsi="Times New Roman" w:eastAsia="仿宋" w:cs="Times New Roman"/>
          <w:sz w:val="24"/>
          <w:szCs w:val="24"/>
        </w:rPr>
        <w:t>、与当地政府签订的投资协议、外交保护、聘请律师等多种途径</w:t>
      </w:r>
      <w:bookmarkEnd w:id="28"/>
      <w:r>
        <w:rPr>
          <w:rFonts w:hint="eastAsia" w:ascii="Times New Roman" w:hAnsi="Times New Roman" w:eastAsia="仿宋" w:cs="Times New Roman"/>
          <w:sz w:val="24"/>
          <w:szCs w:val="24"/>
        </w:rPr>
        <w:t>维护自身的合法投资利益。</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jc w:val="left"/>
        <w:rPr>
          <w:rFonts w:ascii="Times New Roman" w:hAnsi="Times New Roman" w:eastAsia="仿宋" w:cs="Times New Roman"/>
          <w:sz w:val="28"/>
          <w:szCs w:val="28"/>
        </w:rPr>
      </w:pPr>
      <w:r>
        <w:rPr>
          <w:rFonts w:ascii="Times New Roman" w:hAnsi="Times New Roman" w:eastAsia="仿宋" w:cs="Times New Roman"/>
          <w:sz w:val="28"/>
          <w:szCs w:val="28"/>
        </w:rPr>
        <w:t>结语</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总体而言，中阿BIT可为我国投资者及其在阿塞拜疆的投资提供</w:t>
      </w:r>
      <w:r>
        <w:rPr>
          <w:rFonts w:hint="eastAsia" w:ascii="Times New Roman" w:hAnsi="Times New Roman" w:eastAsia="仿宋" w:cs="Times New Roman"/>
          <w:sz w:val="24"/>
          <w:szCs w:val="24"/>
        </w:rPr>
        <w:t>较高</w:t>
      </w:r>
      <w:r>
        <w:rPr>
          <w:rFonts w:ascii="Times New Roman" w:hAnsi="Times New Roman" w:eastAsia="仿宋" w:cs="Times New Roman"/>
          <w:sz w:val="24"/>
          <w:szCs w:val="24"/>
          <w:highlight w:val="none"/>
        </w:rPr>
        <w:t>程度的保护</w:t>
      </w:r>
      <w:r>
        <w:rPr>
          <w:rFonts w:ascii="Times New Roman" w:hAnsi="Times New Roman" w:eastAsia="仿宋" w:cs="Times New Roman"/>
          <w:sz w:val="24"/>
          <w:szCs w:val="24"/>
        </w:rPr>
        <w:t>，例如：（1）中阿BIT规定了我国</w:t>
      </w:r>
      <w:r>
        <w:rPr>
          <w:rFonts w:hint="eastAsia" w:ascii="Times New Roman" w:hAnsi="Times New Roman" w:eastAsia="仿宋" w:cs="Times New Roman"/>
          <w:sz w:val="24"/>
          <w:szCs w:val="24"/>
        </w:rPr>
        <w:t>在</w:t>
      </w:r>
      <w:r>
        <w:rPr>
          <w:rFonts w:ascii="Times New Roman" w:hAnsi="Times New Roman" w:eastAsia="仿宋" w:cs="Times New Roman"/>
          <w:sz w:val="24"/>
          <w:szCs w:val="24"/>
        </w:rPr>
        <w:t>阿塞拜疆</w:t>
      </w:r>
      <w:r>
        <w:rPr>
          <w:rFonts w:hint="eastAsia" w:ascii="Times New Roman" w:hAnsi="Times New Roman" w:eastAsia="仿宋" w:cs="Times New Roman"/>
          <w:sz w:val="24"/>
          <w:szCs w:val="24"/>
        </w:rPr>
        <w:t>境内</w:t>
      </w:r>
      <w:r>
        <w:rPr>
          <w:rFonts w:ascii="Times New Roman" w:hAnsi="Times New Roman" w:eastAsia="仿宋" w:cs="Times New Roman"/>
          <w:sz w:val="24"/>
          <w:szCs w:val="24"/>
        </w:rPr>
        <w:t>投资者享有</w:t>
      </w:r>
      <w:r>
        <w:rPr>
          <w:rFonts w:hint="eastAsia" w:ascii="Times New Roman" w:hAnsi="Times New Roman" w:eastAsia="仿宋" w:cs="Times New Roman"/>
          <w:sz w:val="24"/>
          <w:szCs w:val="24"/>
        </w:rPr>
        <w:t>公平与公正待遇以及最惠国待遇；</w:t>
      </w:r>
      <w:r>
        <w:rPr>
          <w:rFonts w:ascii="Times New Roman" w:hAnsi="Times New Roman" w:eastAsia="仿宋" w:cs="Times New Roman"/>
          <w:sz w:val="24"/>
          <w:szCs w:val="24"/>
        </w:rPr>
        <w:t>（2）中阿BIT</w:t>
      </w:r>
      <w:r>
        <w:rPr>
          <w:rFonts w:hint="eastAsia" w:ascii="Times New Roman" w:hAnsi="Times New Roman" w:eastAsia="仿宋" w:cs="Times New Roman"/>
          <w:sz w:val="24"/>
          <w:szCs w:val="24"/>
        </w:rPr>
        <w:t>规定我国投资者因征收或国有化措施而遭受损失时，有权利获得补偿或赔偿；（3）我国投资者将投资款和收益转移至阿塞拜疆境外原则上不受限制</w:t>
      </w:r>
      <w:r>
        <w:rPr>
          <w:rFonts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我国拟向阿塞拜疆境内</w:t>
      </w:r>
      <w:r>
        <w:rPr>
          <w:rFonts w:ascii="Times New Roman" w:hAnsi="Times New Roman" w:eastAsia="仿宋" w:cs="Times New Roman"/>
          <w:sz w:val="24"/>
          <w:szCs w:val="24"/>
          <w:highlight w:val="none"/>
        </w:rPr>
        <w:t>进行投资</w:t>
      </w:r>
      <w:r>
        <w:rPr>
          <w:rFonts w:ascii="Times New Roman" w:hAnsi="Times New Roman" w:eastAsia="仿宋" w:cs="Times New Roman"/>
          <w:sz w:val="24"/>
          <w:szCs w:val="24"/>
        </w:rPr>
        <w:t>的投资者需注意：（</w:t>
      </w:r>
      <w:r>
        <w:rPr>
          <w:rFonts w:hint="eastAsia" w:ascii="Times New Roman" w:hAnsi="Times New Roman" w:eastAsia="仿宋" w:cs="Times New Roman"/>
          <w:sz w:val="24"/>
          <w:szCs w:val="24"/>
        </w:rPr>
        <w:t>1</w:t>
      </w:r>
      <w:r>
        <w:rPr>
          <w:rFonts w:ascii="Times New Roman" w:hAnsi="Times New Roman" w:eastAsia="仿宋" w:cs="Times New Roman"/>
          <w:sz w:val="24"/>
          <w:szCs w:val="24"/>
        </w:rPr>
        <w:t>）</w:t>
      </w:r>
      <w:r>
        <w:rPr>
          <w:rFonts w:hint="eastAsia" w:ascii="Times New Roman" w:hAnsi="Times New Roman" w:eastAsia="仿宋" w:cs="Times New Roman"/>
          <w:sz w:val="24"/>
          <w:szCs w:val="24"/>
        </w:rPr>
        <w:t>阿塞拜疆国内部分行业的市场准入对外资存在一定限制，投资者应关注特定行业的禁止投资规定或股权比例限制；</w:t>
      </w:r>
      <w:r>
        <w:rPr>
          <w:rFonts w:ascii="Times New Roman" w:hAnsi="Times New Roman" w:eastAsia="仿宋" w:cs="Times New Roman"/>
          <w:sz w:val="24"/>
          <w:szCs w:val="24"/>
        </w:rPr>
        <w:t>（</w:t>
      </w:r>
      <w:r>
        <w:rPr>
          <w:rFonts w:hint="eastAsia" w:ascii="Times New Roman" w:hAnsi="Times New Roman" w:eastAsia="仿宋" w:cs="Times New Roman"/>
          <w:sz w:val="24"/>
          <w:szCs w:val="24"/>
        </w:rPr>
        <w:t>2</w:t>
      </w:r>
      <w:r>
        <w:rPr>
          <w:rFonts w:ascii="Times New Roman" w:hAnsi="Times New Roman" w:eastAsia="仿宋" w:cs="Times New Roman"/>
          <w:sz w:val="24"/>
          <w:szCs w:val="24"/>
        </w:rPr>
        <w:t>）</w:t>
      </w:r>
      <w:r>
        <w:rPr>
          <w:rFonts w:hint="eastAsia" w:ascii="Times New Roman" w:hAnsi="Times New Roman" w:eastAsia="仿宋" w:cs="Times New Roman"/>
          <w:sz w:val="24"/>
          <w:szCs w:val="24"/>
        </w:rPr>
        <w:t>考察阿塞拜疆在I</w:t>
      </w:r>
      <w:r>
        <w:rPr>
          <w:rFonts w:ascii="Times New Roman" w:hAnsi="Times New Roman" w:eastAsia="仿宋" w:cs="Times New Roman"/>
          <w:sz w:val="24"/>
          <w:szCs w:val="24"/>
        </w:rPr>
        <w:t>CSID</w:t>
      </w:r>
      <w:r>
        <w:rPr>
          <w:rFonts w:hint="eastAsia" w:ascii="Times New Roman" w:hAnsi="Times New Roman" w:eastAsia="仿宋" w:cs="Times New Roman"/>
          <w:sz w:val="24"/>
          <w:szCs w:val="24"/>
        </w:rPr>
        <w:t>的仲裁案件，笔者认为，目前阿塞拜疆国内可能仍存在一定的“间接征收”风险，建议投资者充分利用中阿BIT、与当地政府签订的投资协议、外交保护、聘请律师等多种保护途径维护自身的投资利益。</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0">
    <w:p>
      <w:r>
        <w:separator/>
      </w:r>
    </w:p>
  </w:footnote>
  <w:footnote w:type="continuationSeparator" w:id="31">
    <w:p>
      <w:r>
        <w:continuationSeparator/>
      </w:r>
    </w:p>
  </w:footnote>
  <w:footnote w:id="0">
    <w:p>
      <w:pPr>
        <w:pStyle w:val="9"/>
        <w:rPr>
          <w:rFonts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See “the World Bank” website, </w:t>
      </w:r>
      <w:r>
        <w:rPr>
          <w:rFonts w:hint="eastAsia" w:ascii="Times New Roman" w:hAnsi="Times New Roman" w:cs="Times New Roman"/>
        </w:rPr>
        <w:t>available</w:t>
      </w:r>
      <w:r>
        <w:rPr>
          <w:rFonts w:ascii="Times New Roman" w:hAnsi="Times New Roman" w:cs="Times New Roman"/>
        </w:rPr>
        <w:t xml:space="preserve"> </w:t>
      </w:r>
      <w:r>
        <w:rPr>
          <w:rFonts w:hint="eastAsia" w:ascii="Times New Roman" w:hAnsi="Times New Roman" w:cs="Times New Roman"/>
        </w:rPr>
        <w:t>at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HYPERLINK "https://data.worldbank.org/country/azerbaijan" </w:instrText>
      </w:r>
      <w:r>
        <w:rPr>
          <w:rFonts w:ascii="Times New Roman" w:hAnsi="Times New Roman" w:cs="Times New Roman"/>
        </w:rPr>
        <w:fldChar w:fldCharType="separate"/>
      </w:r>
      <w:r>
        <w:rPr>
          <w:rStyle w:val="16"/>
          <w:rFonts w:ascii="Times New Roman" w:hAnsi="Times New Roman" w:cs="Times New Roman"/>
        </w:rPr>
        <w:t>https://data.worldbank.org/country/azerbaijan</w:t>
      </w:r>
      <w:r>
        <w:rPr>
          <w:rFonts w:ascii="Times New Roman" w:hAnsi="Times New Roman" w:cs="Times New Roman"/>
        </w:rPr>
        <w:fldChar w:fldCharType="end"/>
      </w:r>
      <w:r>
        <w:rPr>
          <w:rFonts w:ascii="Times New Roman" w:hAnsi="Times New Roman" w:cs="Times New Roman"/>
        </w:rPr>
        <w:t xml:space="preserve">, </w:t>
      </w:r>
      <w:r>
        <w:rPr>
          <w:rFonts w:hint="eastAsia" w:ascii="Times New Roman" w:hAnsi="Times New Roman" w:cs="Times New Roman"/>
        </w:rPr>
        <w:t>Mar</w:t>
      </w:r>
      <w:r>
        <w:rPr>
          <w:rFonts w:ascii="Times New Roman" w:hAnsi="Times New Roman" w:cs="Times New Roman"/>
        </w:rPr>
        <w:t>.</w:t>
      </w:r>
      <w:r>
        <w:rPr>
          <w:rFonts w:hint="eastAsia" w:ascii="Times New Roman" w:hAnsi="Times New Roman" w:cs="Times New Roman"/>
        </w:rPr>
        <w:t>31</w:t>
      </w:r>
      <w:r>
        <w:rPr>
          <w:rFonts w:ascii="Times New Roman" w:hAnsi="Times New Roman" w:cs="Times New Roman"/>
        </w:rPr>
        <w:t>, 20</w:t>
      </w:r>
      <w:r>
        <w:rPr>
          <w:rFonts w:hint="eastAsia" w:ascii="Times New Roman" w:hAnsi="Times New Roman" w:cs="Times New Roman"/>
        </w:rPr>
        <w:t>20</w:t>
      </w:r>
      <w:r>
        <w:rPr>
          <w:rFonts w:ascii="Times New Roman" w:hAnsi="Times New Roman" w:cs="Times New Roman"/>
        </w:rPr>
        <w:t>.</w:t>
      </w:r>
    </w:p>
  </w:footnote>
  <w:footnote w:id="1">
    <w:p>
      <w:pPr>
        <w:pStyle w:val="9"/>
        <w:rPr>
          <w:rFonts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w:t>
      </w:r>
      <w:r>
        <w:rPr>
          <w:rFonts w:ascii="Times New Roman" w:hAnsi="Times New Roman" w:eastAsia="仿宋" w:cs="Times New Roman"/>
        </w:rPr>
        <w:t>参见商务部：</w:t>
      </w:r>
      <w:r>
        <w:rPr>
          <w:rFonts w:hint="eastAsia" w:ascii="Times New Roman" w:hAnsi="Times New Roman" w:eastAsia="仿宋" w:cs="Times New Roman"/>
        </w:rPr>
        <w:t>《</w:t>
      </w:r>
      <w:r>
        <w:rPr>
          <w:rFonts w:ascii="Times New Roman" w:hAnsi="Times New Roman" w:eastAsia="仿宋" w:cs="Times New Roman"/>
        </w:rPr>
        <w:t>对外投资合作国别（地区）指南——阿塞拜疆（2019年版）》，第29页。</w:t>
      </w:r>
    </w:p>
  </w:footnote>
  <w:footnote w:id="2">
    <w:p>
      <w:pPr>
        <w:pStyle w:val="9"/>
        <w:rPr>
          <w:rFonts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See “The Global Competitiveness Report 2019”, available at: http://reports.weforum.org/global-competitiveness-report-2019/economy-profiles/#economy=AZE, Mar. 31, 2020.</w:t>
      </w:r>
    </w:p>
  </w:footnote>
  <w:footnote w:id="3">
    <w:p>
      <w:pPr>
        <w:pStyle w:val="9"/>
      </w:pPr>
      <w:r>
        <w:rPr>
          <w:rStyle w:val="18"/>
          <w:rFonts w:ascii="Times New Roman" w:hAnsi="Times New Roman" w:cs="Times New Roman"/>
        </w:rPr>
        <w:footnoteRef/>
      </w:r>
      <w:r>
        <w:rPr>
          <w:rFonts w:ascii="Times New Roman" w:hAnsi="Times New Roman" w:cs="Times New Roman"/>
        </w:rPr>
        <w:t xml:space="preserve"> </w:t>
      </w:r>
      <w:r>
        <w:rPr>
          <w:rFonts w:ascii="Times New Roman" w:hAnsi="Times New Roman" w:eastAsia="仿宋" w:cs="Times New Roman"/>
        </w:rPr>
        <w:t>参见世界银行：《2020年营商环境报告》，https://chinese.doingbusiness.org/zh/data/exploreeconomies/azerbaijan, 访问日期：2020年3月31日。</w:t>
      </w:r>
    </w:p>
  </w:footnote>
  <w:footnote w:id="4">
    <w:p>
      <w:pPr>
        <w:pStyle w:val="9"/>
        <w:rPr>
          <w:rFonts w:ascii="Times New Roman" w:hAnsi="Times New Roman" w:eastAsia="仿宋" w:cs="Times New Roman"/>
        </w:rPr>
      </w:pPr>
      <w:r>
        <w:rPr>
          <w:rStyle w:val="18"/>
          <w:rFonts w:ascii="Times New Roman" w:hAnsi="Times New Roman" w:eastAsia="仿宋" w:cs="Times New Roman"/>
        </w:rPr>
        <w:footnoteRef/>
      </w:r>
      <w:r>
        <w:rPr>
          <w:rFonts w:ascii="Times New Roman" w:hAnsi="Times New Roman" w:eastAsia="仿宋" w:cs="Times New Roman"/>
        </w:rPr>
        <w:t xml:space="preserve"> </w:t>
      </w:r>
      <w:r>
        <w:rPr>
          <w:rFonts w:hint="eastAsia" w:ascii="Times New Roman" w:hAnsi="Times New Roman" w:eastAsia="仿宋" w:cs="Times New Roman"/>
        </w:rPr>
        <w:t>参见商务部：《对外投资合作国别（地区）指南——阿塞拜疆（</w:t>
      </w:r>
      <w:r>
        <w:rPr>
          <w:rFonts w:ascii="Times New Roman" w:hAnsi="Times New Roman" w:eastAsia="仿宋" w:cs="Times New Roman"/>
        </w:rPr>
        <w:t>2019</w:t>
      </w:r>
      <w:r>
        <w:rPr>
          <w:rFonts w:hint="eastAsia" w:ascii="Times New Roman" w:hAnsi="Times New Roman" w:eastAsia="仿宋" w:cs="Times New Roman"/>
        </w:rPr>
        <w:t>年版）》，第</w:t>
      </w:r>
      <w:r>
        <w:rPr>
          <w:rFonts w:ascii="Times New Roman" w:hAnsi="Times New Roman" w:eastAsia="仿宋" w:cs="Times New Roman"/>
        </w:rPr>
        <w:t>49</w:t>
      </w:r>
      <w:r>
        <w:rPr>
          <w:rFonts w:hint="eastAsia" w:ascii="Times New Roman" w:hAnsi="Times New Roman" w:eastAsia="仿宋" w:cs="Times New Roman"/>
        </w:rPr>
        <w:t>页。</w:t>
      </w:r>
    </w:p>
  </w:footnote>
  <w:footnote w:id="5">
    <w:p>
      <w:pPr>
        <w:pStyle w:val="9"/>
        <w:rPr>
          <w:rFonts w:ascii="Times New Roman" w:hAnsi="Times New Roman" w:eastAsia="仿宋" w:cs="Times New Roman"/>
        </w:rPr>
      </w:pPr>
      <w:r>
        <w:rPr>
          <w:rStyle w:val="18"/>
          <w:rFonts w:ascii="Times New Roman" w:hAnsi="Times New Roman" w:eastAsia="仿宋" w:cs="Times New Roman"/>
        </w:rPr>
        <w:footnoteRef/>
      </w:r>
      <w:r>
        <w:rPr>
          <w:rFonts w:ascii="Times New Roman" w:hAnsi="Times New Roman" w:eastAsia="仿宋" w:cs="Times New Roman"/>
        </w:rPr>
        <w:t xml:space="preserve"> 参见商务部：</w:t>
      </w:r>
      <w:r>
        <w:rPr>
          <w:rFonts w:hint="eastAsia" w:ascii="Times New Roman" w:hAnsi="Times New Roman" w:eastAsia="仿宋" w:cs="Times New Roman"/>
        </w:rPr>
        <w:t>《</w:t>
      </w:r>
      <w:r>
        <w:rPr>
          <w:rFonts w:ascii="Times New Roman" w:hAnsi="Times New Roman" w:eastAsia="仿宋" w:cs="Times New Roman"/>
        </w:rPr>
        <w:t>对外投资合作国别（地区）指南——阿塞拜疆（2019年版）》，第40页。</w:t>
      </w:r>
    </w:p>
  </w:footnote>
  <w:footnote w:id="6">
    <w:p>
      <w:pPr>
        <w:pStyle w:val="9"/>
      </w:pPr>
      <w:r>
        <w:rPr>
          <w:rStyle w:val="18"/>
          <w:rFonts w:ascii="Times New Roman" w:hAnsi="Times New Roman" w:eastAsia="仿宋" w:cs="Times New Roman"/>
        </w:rPr>
        <w:footnoteRef/>
      </w:r>
      <w:r>
        <w:rPr>
          <w:rFonts w:ascii="Times New Roman" w:hAnsi="Times New Roman" w:eastAsia="仿宋" w:cs="Times New Roman"/>
        </w:rPr>
        <w:t xml:space="preserve"> 参见商务部：</w:t>
      </w:r>
      <w:r>
        <w:rPr>
          <w:rFonts w:hint="eastAsia" w:ascii="Times New Roman" w:hAnsi="Times New Roman" w:eastAsia="仿宋" w:cs="Times New Roman"/>
        </w:rPr>
        <w:t>《</w:t>
      </w:r>
      <w:r>
        <w:rPr>
          <w:rFonts w:ascii="Times New Roman" w:hAnsi="Times New Roman" w:eastAsia="仿宋" w:cs="Times New Roman"/>
        </w:rPr>
        <w:t>对外投资合作国别（地区）指南——阿塞拜疆（2019年版）》，第33页。</w:t>
      </w:r>
    </w:p>
  </w:footnote>
  <w:footnote w:id="7">
    <w:p>
      <w:pPr>
        <w:pStyle w:val="9"/>
      </w:pPr>
      <w:r>
        <w:rPr>
          <w:rStyle w:val="18"/>
        </w:rPr>
        <w:footnoteRef/>
      </w:r>
      <w:r>
        <w:t xml:space="preserve"> </w:t>
      </w:r>
      <w:r>
        <w:rPr>
          <w:rFonts w:ascii="Times New Roman" w:hAnsi="Times New Roman" w:cs="Times New Roman"/>
        </w:rPr>
        <w:t>See “U.S. Department of State” website, available at: https://www.state.gov/reports/2019-investment-climate-statements/azerbaijan/, Mar. 31, 2020.</w:t>
      </w:r>
    </w:p>
  </w:footnote>
  <w:footnote w:id="8">
    <w:p>
      <w:pPr>
        <w:pStyle w:val="9"/>
      </w:pPr>
      <w:r>
        <w:rPr>
          <w:rStyle w:val="18"/>
        </w:rPr>
        <w:footnoteRef/>
      </w:r>
      <w:r>
        <w:t xml:space="preserve"> </w:t>
      </w:r>
      <w:r>
        <w:rPr>
          <w:rFonts w:hint="eastAsia" w:ascii="仿宋" w:hAnsi="仿宋" w:eastAsia="仿宋"/>
        </w:rPr>
        <w:t>参见商务部：《对外投资合作国别（地区）指南——阿塞拜疆（2019年版）》，第32页。</w:t>
      </w:r>
    </w:p>
  </w:footnote>
  <w:footnote w:id="9">
    <w:p>
      <w:pPr>
        <w:pStyle w:val="9"/>
      </w:pPr>
      <w:r>
        <w:rPr>
          <w:rStyle w:val="18"/>
        </w:rPr>
        <w:footnoteRef/>
      </w:r>
      <w:r>
        <w:rPr>
          <w:rFonts w:hint="eastAsia"/>
        </w:rPr>
        <w:t xml:space="preserve"> </w:t>
      </w:r>
      <w:r>
        <w:rPr>
          <w:rFonts w:ascii="Times New Roman" w:hAnsi="Times New Roman" w:eastAsia="仿宋" w:cs="Times New Roman"/>
        </w:rPr>
        <w:t>资料来源：ICSID官网，</w:t>
      </w:r>
      <w:r>
        <w:fldChar w:fldCharType="begin"/>
      </w:r>
      <w:r>
        <w:instrText xml:space="preserve"> HYPERLINK "https://icsid.worldbank.org/en/Pages/cases/AdvancedSearch.aspx" </w:instrText>
      </w:r>
      <w:r>
        <w:fldChar w:fldCharType="separate"/>
      </w:r>
      <w:r>
        <w:rPr>
          <w:rStyle w:val="15"/>
          <w:rFonts w:ascii="Times New Roman" w:hAnsi="Times New Roman" w:eastAsia="仿宋" w:cs="Times New Roman"/>
        </w:rPr>
        <w:t>https://icsid.worldbank.org/en/Pages/cases/AdvancedSearch.aspx</w:t>
      </w:r>
      <w:r>
        <w:rPr>
          <w:rStyle w:val="15"/>
          <w:rFonts w:ascii="Times New Roman" w:hAnsi="Times New Roman" w:eastAsia="仿宋" w:cs="Times New Roman"/>
        </w:rPr>
        <w:fldChar w:fldCharType="end"/>
      </w:r>
      <w:r>
        <w:rPr>
          <w:rFonts w:ascii="Times New Roman" w:hAnsi="Times New Roman" w:eastAsia="仿宋" w:cs="Times New Roman"/>
        </w:rPr>
        <w:t>, 访问日期2020年3月31日。</w:t>
      </w:r>
    </w:p>
  </w:footnote>
  <w:footnote w:id="10">
    <w:p>
      <w:pPr>
        <w:pStyle w:val="9"/>
        <w:rPr>
          <w:rFonts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See UNCTAD website, available at: </w:t>
      </w:r>
      <w:r>
        <w:fldChar w:fldCharType="begin"/>
      </w:r>
      <w:r>
        <w:instrText xml:space="preserve"> HYPERLINK "https://investmentpolicy.unctad.org/country-navigator/15/azerbaijan" </w:instrText>
      </w:r>
      <w:r>
        <w:fldChar w:fldCharType="separate"/>
      </w:r>
      <w:r>
        <w:rPr>
          <w:rStyle w:val="16"/>
          <w:rFonts w:ascii="Times New Roman" w:hAnsi="Times New Roman" w:cs="Times New Roman"/>
        </w:rPr>
        <w:t>https://investmentpolicy.unctad.org/country-navigator/15/azerbaijan</w:t>
      </w:r>
      <w:r>
        <w:rPr>
          <w:rStyle w:val="16"/>
          <w:rFonts w:ascii="Times New Roman" w:hAnsi="Times New Roman" w:cs="Times New Roman"/>
        </w:rPr>
        <w:fldChar w:fldCharType="end"/>
      </w:r>
      <w:r>
        <w:rPr>
          <w:rFonts w:ascii="Times New Roman" w:hAnsi="Times New Roman" w:cs="Times New Roman"/>
        </w:rPr>
        <w:t>, Mar. 31, 2020.</w:t>
      </w:r>
    </w:p>
  </w:footnote>
  <w:footnote w:id="11">
    <w:p>
      <w:pPr>
        <w:pStyle w:val="9"/>
        <w:rPr>
          <w:rFonts w:hint="eastAsia"/>
        </w:rPr>
      </w:pPr>
      <w:r>
        <w:rPr>
          <w:rStyle w:val="18"/>
        </w:rPr>
        <w:footnoteRef/>
      </w:r>
      <w:r>
        <w:t xml:space="preserve"> </w:t>
      </w:r>
      <w:r>
        <w:rPr>
          <w:rFonts w:hint="eastAsia"/>
        </w:rPr>
        <w:t>See</w:t>
      </w:r>
      <w:r>
        <w:t xml:space="preserve"> Energy Charter Treaty interactive website, available at:, </w:t>
      </w:r>
      <w:r>
        <w:fldChar w:fldCharType="begin"/>
      </w:r>
      <w:r>
        <w:instrText xml:space="preserve"> HYPERLINK "https://www.energychartertreaty.org/details/article/azpetrol-international-holdings-bv-azpetrol-group-bv-azpetrol-oil-services-group-bv-v-azerba/" </w:instrText>
      </w:r>
      <w:r>
        <w:fldChar w:fldCharType="separate"/>
      </w:r>
      <w:r>
        <w:rPr>
          <w:rStyle w:val="16"/>
        </w:rPr>
        <w:t>https://www.energychartertreaty.org/details/article/azpetrol-international-holdings-bv-azpetrol-group-bv-azpetrol-oil-services-group-bv-v-azerba/</w:t>
      </w:r>
      <w:r>
        <w:fldChar w:fldCharType="end"/>
      </w:r>
      <w:r>
        <w:t>, Mar. 31, 2020.</w:t>
      </w:r>
    </w:p>
  </w:footnote>
  <w:footnote w:id="12">
    <w:p>
      <w:pPr>
        <w:pStyle w:val="9"/>
      </w:pPr>
      <w:r>
        <w:rPr>
          <w:rStyle w:val="18"/>
          <w:rFonts w:ascii="Times New Roman" w:hAnsi="Times New Roman" w:cs="Times New Roman"/>
        </w:rPr>
        <w:footnoteRef/>
      </w:r>
      <w:r>
        <w:rPr>
          <w:rFonts w:ascii="Times New Roman" w:hAnsi="Times New Roman" w:cs="Times New Roman"/>
        </w:rPr>
        <w:t xml:space="preserve"> See Azpetrol International Holdings B.V., Azpetrol Group B.V. and Azpetrol Oil Services Group B.V. v. Republic of Azerbaijan, ICSID Case No. ARB/06/15, registered on August 30, 2006.</w:t>
      </w:r>
    </w:p>
  </w:footnote>
  <w:footnote w:id="13">
    <w:p>
      <w:pPr>
        <w:pStyle w:val="9"/>
        <w:rPr>
          <w:rFonts w:ascii="Times New Roman" w:hAnsi="Times New Roman" w:cs="Times New Roman"/>
        </w:rPr>
      </w:pPr>
      <w:r>
        <w:rPr>
          <w:rStyle w:val="18"/>
          <w:rFonts w:ascii="Times New Roman" w:hAnsi="Times New Roman" w:cs="Times New Roman"/>
        </w:rPr>
        <w:footnoteRef/>
      </w:r>
      <w:r>
        <w:rPr>
          <w:rFonts w:ascii="Times New Roman" w:hAnsi="Times New Roman" w:cs="Times New Roman"/>
        </w:rPr>
        <w:t xml:space="preserve"> See Barmek Holding A.S. v. Republic of Azerbaijan, ICSID Case No. ARB/06/16, registered on October 16, 2006.</w:t>
      </w:r>
    </w:p>
  </w:footnote>
  <w:footnote w:id="14">
    <w:p>
      <w:pPr>
        <w:pStyle w:val="9"/>
      </w:pPr>
      <w:r>
        <w:rPr>
          <w:rStyle w:val="18"/>
          <w:rFonts w:ascii="Times New Roman" w:hAnsi="Times New Roman" w:cs="Times New Roman"/>
        </w:rPr>
        <w:footnoteRef/>
      </w:r>
      <w:r>
        <w:rPr>
          <w:rFonts w:ascii="Times New Roman" w:hAnsi="Times New Roman" w:cs="Times New Roman"/>
        </w:rPr>
        <w:t xml:space="preserve"> See Cem Selçuk Ersoy v. Republic of Azerbaijan, ICSID Case No. ARB/18/6, registered on March 14,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0688B"/>
    <w:multiLevelType w:val="multilevel"/>
    <w:tmpl w:val="4930688B"/>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30"/>
    <w:footnote w:id="3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77"/>
    <w:rsid w:val="00000BCA"/>
    <w:rsid w:val="00001143"/>
    <w:rsid w:val="000012DC"/>
    <w:rsid w:val="0000160A"/>
    <w:rsid w:val="000022F2"/>
    <w:rsid w:val="000025D8"/>
    <w:rsid w:val="000026BA"/>
    <w:rsid w:val="000028BF"/>
    <w:rsid w:val="00002E47"/>
    <w:rsid w:val="000031FF"/>
    <w:rsid w:val="0000372B"/>
    <w:rsid w:val="000040E0"/>
    <w:rsid w:val="00004360"/>
    <w:rsid w:val="000048A1"/>
    <w:rsid w:val="00004EE3"/>
    <w:rsid w:val="000055EA"/>
    <w:rsid w:val="00006258"/>
    <w:rsid w:val="000062FA"/>
    <w:rsid w:val="0000630E"/>
    <w:rsid w:val="000068D7"/>
    <w:rsid w:val="00006E60"/>
    <w:rsid w:val="000075CF"/>
    <w:rsid w:val="00007626"/>
    <w:rsid w:val="00007696"/>
    <w:rsid w:val="00007DF1"/>
    <w:rsid w:val="00007F69"/>
    <w:rsid w:val="00010547"/>
    <w:rsid w:val="000115EA"/>
    <w:rsid w:val="00011741"/>
    <w:rsid w:val="00011983"/>
    <w:rsid w:val="00011BD2"/>
    <w:rsid w:val="00011EBB"/>
    <w:rsid w:val="0001350C"/>
    <w:rsid w:val="00013551"/>
    <w:rsid w:val="000138D1"/>
    <w:rsid w:val="00013C6E"/>
    <w:rsid w:val="00013E53"/>
    <w:rsid w:val="000153F2"/>
    <w:rsid w:val="00015855"/>
    <w:rsid w:val="00015A33"/>
    <w:rsid w:val="00015F0E"/>
    <w:rsid w:val="00016141"/>
    <w:rsid w:val="00016B01"/>
    <w:rsid w:val="00016E09"/>
    <w:rsid w:val="000200B2"/>
    <w:rsid w:val="00021062"/>
    <w:rsid w:val="00021A45"/>
    <w:rsid w:val="00021AB9"/>
    <w:rsid w:val="00021D8E"/>
    <w:rsid w:val="00021EB3"/>
    <w:rsid w:val="000222BC"/>
    <w:rsid w:val="0002265A"/>
    <w:rsid w:val="00022B15"/>
    <w:rsid w:val="0002360A"/>
    <w:rsid w:val="00023CFF"/>
    <w:rsid w:val="00023F4C"/>
    <w:rsid w:val="00024253"/>
    <w:rsid w:val="0002431A"/>
    <w:rsid w:val="00025BB6"/>
    <w:rsid w:val="00025C1C"/>
    <w:rsid w:val="00025DFC"/>
    <w:rsid w:val="00025F68"/>
    <w:rsid w:val="00026225"/>
    <w:rsid w:val="00026A39"/>
    <w:rsid w:val="000272E3"/>
    <w:rsid w:val="0002759F"/>
    <w:rsid w:val="000275B1"/>
    <w:rsid w:val="00027830"/>
    <w:rsid w:val="000302ED"/>
    <w:rsid w:val="00030432"/>
    <w:rsid w:val="00030F48"/>
    <w:rsid w:val="00031651"/>
    <w:rsid w:val="00031E78"/>
    <w:rsid w:val="00031FED"/>
    <w:rsid w:val="00032325"/>
    <w:rsid w:val="000328A7"/>
    <w:rsid w:val="00033330"/>
    <w:rsid w:val="00033493"/>
    <w:rsid w:val="00033B84"/>
    <w:rsid w:val="00034657"/>
    <w:rsid w:val="00034E37"/>
    <w:rsid w:val="00035338"/>
    <w:rsid w:val="00035B01"/>
    <w:rsid w:val="00035D54"/>
    <w:rsid w:val="00036735"/>
    <w:rsid w:val="00036779"/>
    <w:rsid w:val="00036CA2"/>
    <w:rsid w:val="000371D7"/>
    <w:rsid w:val="000377D5"/>
    <w:rsid w:val="00037A0A"/>
    <w:rsid w:val="00037A84"/>
    <w:rsid w:val="00037C8B"/>
    <w:rsid w:val="00037E9D"/>
    <w:rsid w:val="00040495"/>
    <w:rsid w:val="000408F9"/>
    <w:rsid w:val="00040C68"/>
    <w:rsid w:val="000422DD"/>
    <w:rsid w:val="00042343"/>
    <w:rsid w:val="0004376B"/>
    <w:rsid w:val="000437CF"/>
    <w:rsid w:val="00043E74"/>
    <w:rsid w:val="00043FCD"/>
    <w:rsid w:val="000442F5"/>
    <w:rsid w:val="00044544"/>
    <w:rsid w:val="00044D49"/>
    <w:rsid w:val="00046975"/>
    <w:rsid w:val="00047D6B"/>
    <w:rsid w:val="000506E3"/>
    <w:rsid w:val="00050CF5"/>
    <w:rsid w:val="00050E7F"/>
    <w:rsid w:val="000514EF"/>
    <w:rsid w:val="0005153B"/>
    <w:rsid w:val="00051E48"/>
    <w:rsid w:val="000524CC"/>
    <w:rsid w:val="00052C1F"/>
    <w:rsid w:val="00052E45"/>
    <w:rsid w:val="0005476E"/>
    <w:rsid w:val="00054F95"/>
    <w:rsid w:val="00055B99"/>
    <w:rsid w:val="00055CAC"/>
    <w:rsid w:val="00056004"/>
    <w:rsid w:val="000564C7"/>
    <w:rsid w:val="0005661D"/>
    <w:rsid w:val="000601A1"/>
    <w:rsid w:val="0006038D"/>
    <w:rsid w:val="00060540"/>
    <w:rsid w:val="00061B9A"/>
    <w:rsid w:val="00061F81"/>
    <w:rsid w:val="00062282"/>
    <w:rsid w:val="00062A11"/>
    <w:rsid w:val="0006309E"/>
    <w:rsid w:val="00063B6F"/>
    <w:rsid w:val="00063CBD"/>
    <w:rsid w:val="00064025"/>
    <w:rsid w:val="000643D6"/>
    <w:rsid w:val="0006458C"/>
    <w:rsid w:val="00064C32"/>
    <w:rsid w:val="00064D0D"/>
    <w:rsid w:val="00065BA3"/>
    <w:rsid w:val="0006676C"/>
    <w:rsid w:val="00066D37"/>
    <w:rsid w:val="0006799B"/>
    <w:rsid w:val="00070B89"/>
    <w:rsid w:val="00070FCB"/>
    <w:rsid w:val="000710EE"/>
    <w:rsid w:val="00071445"/>
    <w:rsid w:val="0007183A"/>
    <w:rsid w:val="00071C88"/>
    <w:rsid w:val="00071F88"/>
    <w:rsid w:val="00071F94"/>
    <w:rsid w:val="0007214E"/>
    <w:rsid w:val="00072602"/>
    <w:rsid w:val="00072A1B"/>
    <w:rsid w:val="00072C70"/>
    <w:rsid w:val="00072CFB"/>
    <w:rsid w:val="00072E43"/>
    <w:rsid w:val="000740A8"/>
    <w:rsid w:val="000742E0"/>
    <w:rsid w:val="000743F1"/>
    <w:rsid w:val="0007481B"/>
    <w:rsid w:val="0007549C"/>
    <w:rsid w:val="00075A73"/>
    <w:rsid w:val="00075A79"/>
    <w:rsid w:val="00076326"/>
    <w:rsid w:val="00076BF6"/>
    <w:rsid w:val="00077567"/>
    <w:rsid w:val="000775CB"/>
    <w:rsid w:val="00077D3E"/>
    <w:rsid w:val="00077EE5"/>
    <w:rsid w:val="000800E2"/>
    <w:rsid w:val="000818EB"/>
    <w:rsid w:val="000828DC"/>
    <w:rsid w:val="00082DCB"/>
    <w:rsid w:val="00083015"/>
    <w:rsid w:val="000841C3"/>
    <w:rsid w:val="00084318"/>
    <w:rsid w:val="00084724"/>
    <w:rsid w:val="00084911"/>
    <w:rsid w:val="00084F97"/>
    <w:rsid w:val="00086659"/>
    <w:rsid w:val="00086B94"/>
    <w:rsid w:val="00086DDA"/>
    <w:rsid w:val="000900D3"/>
    <w:rsid w:val="00090195"/>
    <w:rsid w:val="000911F6"/>
    <w:rsid w:val="00091412"/>
    <w:rsid w:val="00091529"/>
    <w:rsid w:val="000917F0"/>
    <w:rsid w:val="00091A75"/>
    <w:rsid w:val="00091DE4"/>
    <w:rsid w:val="00092E7E"/>
    <w:rsid w:val="00092F75"/>
    <w:rsid w:val="00093063"/>
    <w:rsid w:val="000933F8"/>
    <w:rsid w:val="00093901"/>
    <w:rsid w:val="00093F6B"/>
    <w:rsid w:val="00094596"/>
    <w:rsid w:val="0009476A"/>
    <w:rsid w:val="00094F85"/>
    <w:rsid w:val="00095C12"/>
    <w:rsid w:val="00096392"/>
    <w:rsid w:val="000963B6"/>
    <w:rsid w:val="00096C6F"/>
    <w:rsid w:val="00096CDE"/>
    <w:rsid w:val="00096EBF"/>
    <w:rsid w:val="00097783"/>
    <w:rsid w:val="000977E2"/>
    <w:rsid w:val="000978B1"/>
    <w:rsid w:val="000A0495"/>
    <w:rsid w:val="000A0985"/>
    <w:rsid w:val="000A0CCF"/>
    <w:rsid w:val="000A2E7F"/>
    <w:rsid w:val="000A437C"/>
    <w:rsid w:val="000A4BD0"/>
    <w:rsid w:val="000A5287"/>
    <w:rsid w:val="000A6230"/>
    <w:rsid w:val="000A641C"/>
    <w:rsid w:val="000A686A"/>
    <w:rsid w:val="000A6EB9"/>
    <w:rsid w:val="000A739B"/>
    <w:rsid w:val="000A748E"/>
    <w:rsid w:val="000A757E"/>
    <w:rsid w:val="000A76DF"/>
    <w:rsid w:val="000B0321"/>
    <w:rsid w:val="000B03A8"/>
    <w:rsid w:val="000B0528"/>
    <w:rsid w:val="000B1263"/>
    <w:rsid w:val="000B1557"/>
    <w:rsid w:val="000B1A66"/>
    <w:rsid w:val="000B241F"/>
    <w:rsid w:val="000B2559"/>
    <w:rsid w:val="000B344D"/>
    <w:rsid w:val="000B3F1C"/>
    <w:rsid w:val="000B40A3"/>
    <w:rsid w:val="000B40B2"/>
    <w:rsid w:val="000B52CC"/>
    <w:rsid w:val="000B5578"/>
    <w:rsid w:val="000B57D0"/>
    <w:rsid w:val="000B5811"/>
    <w:rsid w:val="000B5970"/>
    <w:rsid w:val="000B5BDF"/>
    <w:rsid w:val="000B60D7"/>
    <w:rsid w:val="000B6133"/>
    <w:rsid w:val="000B736F"/>
    <w:rsid w:val="000B77EB"/>
    <w:rsid w:val="000B791C"/>
    <w:rsid w:val="000B7F92"/>
    <w:rsid w:val="000C030D"/>
    <w:rsid w:val="000C06E6"/>
    <w:rsid w:val="000C1758"/>
    <w:rsid w:val="000C18EC"/>
    <w:rsid w:val="000C1C3F"/>
    <w:rsid w:val="000C215A"/>
    <w:rsid w:val="000C25B0"/>
    <w:rsid w:val="000C26E7"/>
    <w:rsid w:val="000C2C15"/>
    <w:rsid w:val="000C2FCF"/>
    <w:rsid w:val="000C30B6"/>
    <w:rsid w:val="000C37B8"/>
    <w:rsid w:val="000C3ACB"/>
    <w:rsid w:val="000C3F76"/>
    <w:rsid w:val="000C46DA"/>
    <w:rsid w:val="000C4E9A"/>
    <w:rsid w:val="000C5240"/>
    <w:rsid w:val="000C5B9D"/>
    <w:rsid w:val="000C66E8"/>
    <w:rsid w:val="000C67A6"/>
    <w:rsid w:val="000C6951"/>
    <w:rsid w:val="000C6E82"/>
    <w:rsid w:val="000C71FA"/>
    <w:rsid w:val="000C73AD"/>
    <w:rsid w:val="000C7CB8"/>
    <w:rsid w:val="000D18A7"/>
    <w:rsid w:val="000D1CB3"/>
    <w:rsid w:val="000D2BE6"/>
    <w:rsid w:val="000D3092"/>
    <w:rsid w:val="000D36C9"/>
    <w:rsid w:val="000D3A31"/>
    <w:rsid w:val="000D4F81"/>
    <w:rsid w:val="000D50E6"/>
    <w:rsid w:val="000D590F"/>
    <w:rsid w:val="000D6F3D"/>
    <w:rsid w:val="000D7CEA"/>
    <w:rsid w:val="000D7F94"/>
    <w:rsid w:val="000E0632"/>
    <w:rsid w:val="000E09B0"/>
    <w:rsid w:val="000E09CB"/>
    <w:rsid w:val="000E135F"/>
    <w:rsid w:val="000E17DE"/>
    <w:rsid w:val="000E1941"/>
    <w:rsid w:val="000E2E42"/>
    <w:rsid w:val="000E44C2"/>
    <w:rsid w:val="000E490B"/>
    <w:rsid w:val="000E49C7"/>
    <w:rsid w:val="000E4AB0"/>
    <w:rsid w:val="000E549B"/>
    <w:rsid w:val="000E59B9"/>
    <w:rsid w:val="000E5DF3"/>
    <w:rsid w:val="000E669E"/>
    <w:rsid w:val="000E6D59"/>
    <w:rsid w:val="000E6F04"/>
    <w:rsid w:val="000E7264"/>
    <w:rsid w:val="000E7411"/>
    <w:rsid w:val="000E7811"/>
    <w:rsid w:val="000F0890"/>
    <w:rsid w:val="000F1242"/>
    <w:rsid w:val="000F159E"/>
    <w:rsid w:val="000F2183"/>
    <w:rsid w:val="000F220F"/>
    <w:rsid w:val="000F24CC"/>
    <w:rsid w:val="000F253C"/>
    <w:rsid w:val="000F2E75"/>
    <w:rsid w:val="000F2F0B"/>
    <w:rsid w:val="000F31F8"/>
    <w:rsid w:val="000F34F9"/>
    <w:rsid w:val="000F3693"/>
    <w:rsid w:val="000F4207"/>
    <w:rsid w:val="000F4D16"/>
    <w:rsid w:val="000F56E0"/>
    <w:rsid w:val="000F581A"/>
    <w:rsid w:val="000F5D10"/>
    <w:rsid w:val="000F69A0"/>
    <w:rsid w:val="001004BD"/>
    <w:rsid w:val="0010068D"/>
    <w:rsid w:val="00100695"/>
    <w:rsid w:val="001006C9"/>
    <w:rsid w:val="0010083C"/>
    <w:rsid w:val="0010099E"/>
    <w:rsid w:val="00100C4E"/>
    <w:rsid w:val="00100C66"/>
    <w:rsid w:val="00101134"/>
    <w:rsid w:val="0010121C"/>
    <w:rsid w:val="001013F6"/>
    <w:rsid w:val="00101A21"/>
    <w:rsid w:val="00101E3B"/>
    <w:rsid w:val="001022F0"/>
    <w:rsid w:val="00102A5D"/>
    <w:rsid w:val="00102B5D"/>
    <w:rsid w:val="001030F5"/>
    <w:rsid w:val="001030FB"/>
    <w:rsid w:val="001036E7"/>
    <w:rsid w:val="00103F9F"/>
    <w:rsid w:val="00104B13"/>
    <w:rsid w:val="00104E3F"/>
    <w:rsid w:val="00105133"/>
    <w:rsid w:val="00105762"/>
    <w:rsid w:val="00106426"/>
    <w:rsid w:val="0010696A"/>
    <w:rsid w:val="00106ECD"/>
    <w:rsid w:val="001072CB"/>
    <w:rsid w:val="00107F2A"/>
    <w:rsid w:val="00110A64"/>
    <w:rsid w:val="001111AB"/>
    <w:rsid w:val="00111201"/>
    <w:rsid w:val="001119F2"/>
    <w:rsid w:val="00111D45"/>
    <w:rsid w:val="00111E64"/>
    <w:rsid w:val="00113AE9"/>
    <w:rsid w:val="00115D05"/>
    <w:rsid w:val="001166BC"/>
    <w:rsid w:val="001168DD"/>
    <w:rsid w:val="00116D6F"/>
    <w:rsid w:val="001173BC"/>
    <w:rsid w:val="0011752A"/>
    <w:rsid w:val="00117BAC"/>
    <w:rsid w:val="00120B7B"/>
    <w:rsid w:val="001213B8"/>
    <w:rsid w:val="00121991"/>
    <w:rsid w:val="0012311F"/>
    <w:rsid w:val="001240E1"/>
    <w:rsid w:val="00124150"/>
    <w:rsid w:val="0012421C"/>
    <w:rsid w:val="00124D8C"/>
    <w:rsid w:val="001250CB"/>
    <w:rsid w:val="001261E9"/>
    <w:rsid w:val="00126850"/>
    <w:rsid w:val="0012705D"/>
    <w:rsid w:val="001279F6"/>
    <w:rsid w:val="00130999"/>
    <w:rsid w:val="00130D4F"/>
    <w:rsid w:val="001319B4"/>
    <w:rsid w:val="00131C4E"/>
    <w:rsid w:val="00131DCA"/>
    <w:rsid w:val="001324D3"/>
    <w:rsid w:val="00133593"/>
    <w:rsid w:val="00134BAA"/>
    <w:rsid w:val="00135043"/>
    <w:rsid w:val="001357AF"/>
    <w:rsid w:val="00135A4F"/>
    <w:rsid w:val="00135F92"/>
    <w:rsid w:val="0013690A"/>
    <w:rsid w:val="00136EB4"/>
    <w:rsid w:val="0013747A"/>
    <w:rsid w:val="0013760F"/>
    <w:rsid w:val="001404ED"/>
    <w:rsid w:val="00140B10"/>
    <w:rsid w:val="00140F74"/>
    <w:rsid w:val="00141051"/>
    <w:rsid w:val="00142FED"/>
    <w:rsid w:val="001434D5"/>
    <w:rsid w:val="00143F19"/>
    <w:rsid w:val="001441C4"/>
    <w:rsid w:val="00144BB4"/>
    <w:rsid w:val="00144FB3"/>
    <w:rsid w:val="00146403"/>
    <w:rsid w:val="00147405"/>
    <w:rsid w:val="0014777C"/>
    <w:rsid w:val="0014783D"/>
    <w:rsid w:val="00147C22"/>
    <w:rsid w:val="00147D5C"/>
    <w:rsid w:val="00147DB3"/>
    <w:rsid w:val="001509BA"/>
    <w:rsid w:val="00150E56"/>
    <w:rsid w:val="00150F90"/>
    <w:rsid w:val="0015174B"/>
    <w:rsid w:val="001518F7"/>
    <w:rsid w:val="00152CD7"/>
    <w:rsid w:val="00153E91"/>
    <w:rsid w:val="001540D0"/>
    <w:rsid w:val="001541BF"/>
    <w:rsid w:val="001545C2"/>
    <w:rsid w:val="0015481F"/>
    <w:rsid w:val="00154E07"/>
    <w:rsid w:val="0015505F"/>
    <w:rsid w:val="001558C3"/>
    <w:rsid w:val="00155D98"/>
    <w:rsid w:val="00156598"/>
    <w:rsid w:val="001570B5"/>
    <w:rsid w:val="00157B4E"/>
    <w:rsid w:val="00161BDD"/>
    <w:rsid w:val="00162478"/>
    <w:rsid w:val="00162D73"/>
    <w:rsid w:val="00163135"/>
    <w:rsid w:val="001637BE"/>
    <w:rsid w:val="00163876"/>
    <w:rsid w:val="00163C74"/>
    <w:rsid w:val="0016414D"/>
    <w:rsid w:val="00164744"/>
    <w:rsid w:val="001654C2"/>
    <w:rsid w:val="00165654"/>
    <w:rsid w:val="00165685"/>
    <w:rsid w:val="001664AC"/>
    <w:rsid w:val="00166DEA"/>
    <w:rsid w:val="00167432"/>
    <w:rsid w:val="001674EA"/>
    <w:rsid w:val="0017049F"/>
    <w:rsid w:val="00173151"/>
    <w:rsid w:val="00173EC9"/>
    <w:rsid w:val="00174604"/>
    <w:rsid w:val="00175677"/>
    <w:rsid w:val="00175903"/>
    <w:rsid w:val="00175D13"/>
    <w:rsid w:val="0017652A"/>
    <w:rsid w:val="001765B7"/>
    <w:rsid w:val="001766C9"/>
    <w:rsid w:val="00176777"/>
    <w:rsid w:val="00176B9B"/>
    <w:rsid w:val="00177103"/>
    <w:rsid w:val="00177479"/>
    <w:rsid w:val="0017750A"/>
    <w:rsid w:val="00177F5F"/>
    <w:rsid w:val="00180D2B"/>
    <w:rsid w:val="00181BDA"/>
    <w:rsid w:val="00181D5E"/>
    <w:rsid w:val="001820E9"/>
    <w:rsid w:val="00182386"/>
    <w:rsid w:val="00184460"/>
    <w:rsid w:val="00184611"/>
    <w:rsid w:val="00184EEB"/>
    <w:rsid w:val="001854E0"/>
    <w:rsid w:val="001868F4"/>
    <w:rsid w:val="00187C0E"/>
    <w:rsid w:val="00187F80"/>
    <w:rsid w:val="001901BF"/>
    <w:rsid w:val="00191724"/>
    <w:rsid w:val="001924BA"/>
    <w:rsid w:val="00192616"/>
    <w:rsid w:val="00192789"/>
    <w:rsid w:val="00193052"/>
    <w:rsid w:val="00195857"/>
    <w:rsid w:val="001959BD"/>
    <w:rsid w:val="00195AE1"/>
    <w:rsid w:val="00195ED4"/>
    <w:rsid w:val="00196272"/>
    <w:rsid w:val="00197F02"/>
    <w:rsid w:val="00197F6E"/>
    <w:rsid w:val="001A18A3"/>
    <w:rsid w:val="001A1BA1"/>
    <w:rsid w:val="001A1CB5"/>
    <w:rsid w:val="001A1F16"/>
    <w:rsid w:val="001A2973"/>
    <w:rsid w:val="001A2B38"/>
    <w:rsid w:val="001A2C76"/>
    <w:rsid w:val="001A2CB0"/>
    <w:rsid w:val="001A2E45"/>
    <w:rsid w:val="001A2E67"/>
    <w:rsid w:val="001A3EF7"/>
    <w:rsid w:val="001A3FC6"/>
    <w:rsid w:val="001A4A49"/>
    <w:rsid w:val="001A549E"/>
    <w:rsid w:val="001A59AE"/>
    <w:rsid w:val="001A5F73"/>
    <w:rsid w:val="001A610D"/>
    <w:rsid w:val="001A77A9"/>
    <w:rsid w:val="001B10F6"/>
    <w:rsid w:val="001B150A"/>
    <w:rsid w:val="001B1538"/>
    <w:rsid w:val="001B1567"/>
    <w:rsid w:val="001B195C"/>
    <w:rsid w:val="001B21CA"/>
    <w:rsid w:val="001B23B0"/>
    <w:rsid w:val="001B251D"/>
    <w:rsid w:val="001B3860"/>
    <w:rsid w:val="001B3CA5"/>
    <w:rsid w:val="001B4233"/>
    <w:rsid w:val="001B4245"/>
    <w:rsid w:val="001B4928"/>
    <w:rsid w:val="001B4C7E"/>
    <w:rsid w:val="001B56DC"/>
    <w:rsid w:val="001B5F99"/>
    <w:rsid w:val="001B60A5"/>
    <w:rsid w:val="001B6633"/>
    <w:rsid w:val="001B6D99"/>
    <w:rsid w:val="001B757F"/>
    <w:rsid w:val="001B7C0A"/>
    <w:rsid w:val="001B7F9E"/>
    <w:rsid w:val="001C00D8"/>
    <w:rsid w:val="001C0FFC"/>
    <w:rsid w:val="001C1192"/>
    <w:rsid w:val="001C1499"/>
    <w:rsid w:val="001C191D"/>
    <w:rsid w:val="001C1C2C"/>
    <w:rsid w:val="001C2650"/>
    <w:rsid w:val="001C2771"/>
    <w:rsid w:val="001C28C9"/>
    <w:rsid w:val="001C3298"/>
    <w:rsid w:val="001C3692"/>
    <w:rsid w:val="001C3AA0"/>
    <w:rsid w:val="001C4BE1"/>
    <w:rsid w:val="001C4C0E"/>
    <w:rsid w:val="001C4DC5"/>
    <w:rsid w:val="001C51CA"/>
    <w:rsid w:val="001C5207"/>
    <w:rsid w:val="001C60CA"/>
    <w:rsid w:val="001C6A94"/>
    <w:rsid w:val="001C77F8"/>
    <w:rsid w:val="001C798D"/>
    <w:rsid w:val="001C7D55"/>
    <w:rsid w:val="001C7DE9"/>
    <w:rsid w:val="001C7E51"/>
    <w:rsid w:val="001D06D8"/>
    <w:rsid w:val="001D0DA1"/>
    <w:rsid w:val="001D14F1"/>
    <w:rsid w:val="001D223B"/>
    <w:rsid w:val="001D25B6"/>
    <w:rsid w:val="001D3261"/>
    <w:rsid w:val="001D35F2"/>
    <w:rsid w:val="001D400C"/>
    <w:rsid w:val="001D44CE"/>
    <w:rsid w:val="001D4C00"/>
    <w:rsid w:val="001D4F06"/>
    <w:rsid w:val="001D585A"/>
    <w:rsid w:val="001D5872"/>
    <w:rsid w:val="001D5C64"/>
    <w:rsid w:val="001D5C9C"/>
    <w:rsid w:val="001D61B5"/>
    <w:rsid w:val="001D6783"/>
    <w:rsid w:val="001D6A96"/>
    <w:rsid w:val="001D7B19"/>
    <w:rsid w:val="001D7D26"/>
    <w:rsid w:val="001D7F50"/>
    <w:rsid w:val="001E021D"/>
    <w:rsid w:val="001E0368"/>
    <w:rsid w:val="001E0EEE"/>
    <w:rsid w:val="001E1AAB"/>
    <w:rsid w:val="001E1D87"/>
    <w:rsid w:val="001E1DF6"/>
    <w:rsid w:val="001E27F4"/>
    <w:rsid w:val="001E4E1E"/>
    <w:rsid w:val="001E55FA"/>
    <w:rsid w:val="001E565D"/>
    <w:rsid w:val="001E5A7B"/>
    <w:rsid w:val="001E60F9"/>
    <w:rsid w:val="001E6836"/>
    <w:rsid w:val="001E74CC"/>
    <w:rsid w:val="001E7638"/>
    <w:rsid w:val="001E7BE4"/>
    <w:rsid w:val="001E7C9A"/>
    <w:rsid w:val="001E7CA1"/>
    <w:rsid w:val="001E7DF9"/>
    <w:rsid w:val="001F0610"/>
    <w:rsid w:val="001F0845"/>
    <w:rsid w:val="001F0AC3"/>
    <w:rsid w:val="001F0BAD"/>
    <w:rsid w:val="001F0E3B"/>
    <w:rsid w:val="001F0F4E"/>
    <w:rsid w:val="001F0FD8"/>
    <w:rsid w:val="001F1D11"/>
    <w:rsid w:val="001F2151"/>
    <w:rsid w:val="001F24E0"/>
    <w:rsid w:val="001F27C9"/>
    <w:rsid w:val="001F2EBA"/>
    <w:rsid w:val="001F332F"/>
    <w:rsid w:val="001F37B5"/>
    <w:rsid w:val="001F5098"/>
    <w:rsid w:val="001F546D"/>
    <w:rsid w:val="001F5591"/>
    <w:rsid w:val="001F5D54"/>
    <w:rsid w:val="001F60BE"/>
    <w:rsid w:val="001F6253"/>
    <w:rsid w:val="001F6CFD"/>
    <w:rsid w:val="001F7BCB"/>
    <w:rsid w:val="002000DB"/>
    <w:rsid w:val="002003B5"/>
    <w:rsid w:val="002003D3"/>
    <w:rsid w:val="00200A50"/>
    <w:rsid w:val="00200A63"/>
    <w:rsid w:val="00200E2D"/>
    <w:rsid w:val="00200FF1"/>
    <w:rsid w:val="00201375"/>
    <w:rsid w:val="00201459"/>
    <w:rsid w:val="00201870"/>
    <w:rsid w:val="0020195F"/>
    <w:rsid w:val="00201B13"/>
    <w:rsid w:val="00201C4E"/>
    <w:rsid w:val="00201D75"/>
    <w:rsid w:val="0020253C"/>
    <w:rsid w:val="002029F8"/>
    <w:rsid w:val="00203348"/>
    <w:rsid w:val="00204175"/>
    <w:rsid w:val="00204803"/>
    <w:rsid w:val="00204BC8"/>
    <w:rsid w:val="002062D4"/>
    <w:rsid w:val="002069CA"/>
    <w:rsid w:val="00206ED5"/>
    <w:rsid w:val="0020795E"/>
    <w:rsid w:val="00207E9E"/>
    <w:rsid w:val="002101A0"/>
    <w:rsid w:val="00210415"/>
    <w:rsid w:val="0021070E"/>
    <w:rsid w:val="00210B59"/>
    <w:rsid w:val="00211284"/>
    <w:rsid w:val="00211540"/>
    <w:rsid w:val="00211A95"/>
    <w:rsid w:val="00211AB8"/>
    <w:rsid w:val="00211D7F"/>
    <w:rsid w:val="00212B2A"/>
    <w:rsid w:val="00212CA8"/>
    <w:rsid w:val="00212FE7"/>
    <w:rsid w:val="002136C6"/>
    <w:rsid w:val="00214ACB"/>
    <w:rsid w:val="00214CD9"/>
    <w:rsid w:val="00216BCB"/>
    <w:rsid w:val="0021731D"/>
    <w:rsid w:val="002179D3"/>
    <w:rsid w:val="00217AF6"/>
    <w:rsid w:val="00217B0A"/>
    <w:rsid w:val="00217B8E"/>
    <w:rsid w:val="00220006"/>
    <w:rsid w:val="00221219"/>
    <w:rsid w:val="00221914"/>
    <w:rsid w:val="00221B3D"/>
    <w:rsid w:val="0022294C"/>
    <w:rsid w:val="00222B34"/>
    <w:rsid w:val="002233A5"/>
    <w:rsid w:val="002234C9"/>
    <w:rsid w:val="00223ACD"/>
    <w:rsid w:val="00223DCC"/>
    <w:rsid w:val="00223F7A"/>
    <w:rsid w:val="0022417E"/>
    <w:rsid w:val="00224AEA"/>
    <w:rsid w:val="00224CA3"/>
    <w:rsid w:val="00224E66"/>
    <w:rsid w:val="002261BE"/>
    <w:rsid w:val="002264B8"/>
    <w:rsid w:val="00226C61"/>
    <w:rsid w:val="002270EE"/>
    <w:rsid w:val="00227105"/>
    <w:rsid w:val="00227394"/>
    <w:rsid w:val="00227456"/>
    <w:rsid w:val="00227BC8"/>
    <w:rsid w:val="002302BE"/>
    <w:rsid w:val="002302D6"/>
    <w:rsid w:val="00230425"/>
    <w:rsid w:val="002310FC"/>
    <w:rsid w:val="00231B59"/>
    <w:rsid w:val="00232228"/>
    <w:rsid w:val="002323C4"/>
    <w:rsid w:val="0023247C"/>
    <w:rsid w:val="00232FC7"/>
    <w:rsid w:val="00233726"/>
    <w:rsid w:val="00233BC8"/>
    <w:rsid w:val="00234A30"/>
    <w:rsid w:val="00234B94"/>
    <w:rsid w:val="00235E89"/>
    <w:rsid w:val="002364D7"/>
    <w:rsid w:val="002364DD"/>
    <w:rsid w:val="00236776"/>
    <w:rsid w:val="0023687A"/>
    <w:rsid w:val="00236ADB"/>
    <w:rsid w:val="00236E2F"/>
    <w:rsid w:val="00237205"/>
    <w:rsid w:val="00237B20"/>
    <w:rsid w:val="00240204"/>
    <w:rsid w:val="002404ED"/>
    <w:rsid w:val="002411E1"/>
    <w:rsid w:val="00241289"/>
    <w:rsid w:val="00241BD3"/>
    <w:rsid w:val="002421AC"/>
    <w:rsid w:val="002423EA"/>
    <w:rsid w:val="002427EB"/>
    <w:rsid w:val="00242DA0"/>
    <w:rsid w:val="00242FD5"/>
    <w:rsid w:val="002443C0"/>
    <w:rsid w:val="00245786"/>
    <w:rsid w:val="00246500"/>
    <w:rsid w:val="00247716"/>
    <w:rsid w:val="00247833"/>
    <w:rsid w:val="00247C6C"/>
    <w:rsid w:val="00250DC5"/>
    <w:rsid w:val="00251279"/>
    <w:rsid w:val="002528FD"/>
    <w:rsid w:val="00252B72"/>
    <w:rsid w:val="00253A28"/>
    <w:rsid w:val="00254620"/>
    <w:rsid w:val="00254C0E"/>
    <w:rsid w:val="00255FA2"/>
    <w:rsid w:val="00255FE6"/>
    <w:rsid w:val="00256A48"/>
    <w:rsid w:val="00256AF0"/>
    <w:rsid w:val="00257519"/>
    <w:rsid w:val="00260207"/>
    <w:rsid w:val="00260290"/>
    <w:rsid w:val="00260598"/>
    <w:rsid w:val="002616CE"/>
    <w:rsid w:val="00262790"/>
    <w:rsid w:val="002628EF"/>
    <w:rsid w:val="00263231"/>
    <w:rsid w:val="002635D9"/>
    <w:rsid w:val="002640C1"/>
    <w:rsid w:val="002641E5"/>
    <w:rsid w:val="0026488C"/>
    <w:rsid w:val="00264A03"/>
    <w:rsid w:val="002651D4"/>
    <w:rsid w:val="00266496"/>
    <w:rsid w:val="002667D4"/>
    <w:rsid w:val="00266D39"/>
    <w:rsid w:val="002672B4"/>
    <w:rsid w:val="00267530"/>
    <w:rsid w:val="002700DF"/>
    <w:rsid w:val="00270E18"/>
    <w:rsid w:val="002713EA"/>
    <w:rsid w:val="00271640"/>
    <w:rsid w:val="002716FF"/>
    <w:rsid w:val="00271900"/>
    <w:rsid w:val="00271A0A"/>
    <w:rsid w:val="00271A5F"/>
    <w:rsid w:val="0027202E"/>
    <w:rsid w:val="002721AC"/>
    <w:rsid w:val="002722AB"/>
    <w:rsid w:val="00272306"/>
    <w:rsid w:val="0027241C"/>
    <w:rsid w:val="002727C5"/>
    <w:rsid w:val="0027287F"/>
    <w:rsid w:val="00272EEF"/>
    <w:rsid w:val="002730E6"/>
    <w:rsid w:val="00273273"/>
    <w:rsid w:val="00273E15"/>
    <w:rsid w:val="0027487E"/>
    <w:rsid w:val="00275393"/>
    <w:rsid w:val="0027557A"/>
    <w:rsid w:val="0027562B"/>
    <w:rsid w:val="0027567D"/>
    <w:rsid w:val="00276450"/>
    <w:rsid w:val="00276548"/>
    <w:rsid w:val="00276949"/>
    <w:rsid w:val="002777D2"/>
    <w:rsid w:val="00277968"/>
    <w:rsid w:val="0028076C"/>
    <w:rsid w:val="00281232"/>
    <w:rsid w:val="002815CA"/>
    <w:rsid w:val="00281621"/>
    <w:rsid w:val="00281820"/>
    <w:rsid w:val="002819D3"/>
    <w:rsid w:val="002820DD"/>
    <w:rsid w:val="002822A0"/>
    <w:rsid w:val="00282728"/>
    <w:rsid w:val="00282EEE"/>
    <w:rsid w:val="00283BA9"/>
    <w:rsid w:val="00283D4E"/>
    <w:rsid w:val="002844E9"/>
    <w:rsid w:val="002850F1"/>
    <w:rsid w:val="002858B5"/>
    <w:rsid w:val="0028692F"/>
    <w:rsid w:val="0028742F"/>
    <w:rsid w:val="0028765E"/>
    <w:rsid w:val="00287FBD"/>
    <w:rsid w:val="00290540"/>
    <w:rsid w:val="00290973"/>
    <w:rsid w:val="00290B2C"/>
    <w:rsid w:val="00290C92"/>
    <w:rsid w:val="00290DD7"/>
    <w:rsid w:val="00291062"/>
    <w:rsid w:val="0029106F"/>
    <w:rsid w:val="00291556"/>
    <w:rsid w:val="00291E25"/>
    <w:rsid w:val="00292070"/>
    <w:rsid w:val="002923B0"/>
    <w:rsid w:val="00292738"/>
    <w:rsid w:val="00293000"/>
    <w:rsid w:val="002933B3"/>
    <w:rsid w:val="0029378D"/>
    <w:rsid w:val="00293951"/>
    <w:rsid w:val="00293CE8"/>
    <w:rsid w:val="002940B1"/>
    <w:rsid w:val="00294DB0"/>
    <w:rsid w:val="00296141"/>
    <w:rsid w:val="00296A69"/>
    <w:rsid w:val="00296AA2"/>
    <w:rsid w:val="00297079"/>
    <w:rsid w:val="00297778"/>
    <w:rsid w:val="00297C5B"/>
    <w:rsid w:val="002A0CAD"/>
    <w:rsid w:val="002A0CD8"/>
    <w:rsid w:val="002A1536"/>
    <w:rsid w:val="002A2109"/>
    <w:rsid w:val="002A22C0"/>
    <w:rsid w:val="002A22EF"/>
    <w:rsid w:val="002A2AE4"/>
    <w:rsid w:val="002A2BB0"/>
    <w:rsid w:val="002A345F"/>
    <w:rsid w:val="002A3982"/>
    <w:rsid w:val="002A3BCF"/>
    <w:rsid w:val="002A472F"/>
    <w:rsid w:val="002A4AFD"/>
    <w:rsid w:val="002A4E48"/>
    <w:rsid w:val="002A5204"/>
    <w:rsid w:val="002A56C1"/>
    <w:rsid w:val="002A5933"/>
    <w:rsid w:val="002A6157"/>
    <w:rsid w:val="002A6465"/>
    <w:rsid w:val="002B01E1"/>
    <w:rsid w:val="002B02A4"/>
    <w:rsid w:val="002B02AA"/>
    <w:rsid w:val="002B0382"/>
    <w:rsid w:val="002B050C"/>
    <w:rsid w:val="002B14F3"/>
    <w:rsid w:val="002B5C10"/>
    <w:rsid w:val="002B6C34"/>
    <w:rsid w:val="002B70DA"/>
    <w:rsid w:val="002C05B6"/>
    <w:rsid w:val="002C09A5"/>
    <w:rsid w:val="002C12BE"/>
    <w:rsid w:val="002C1588"/>
    <w:rsid w:val="002C1940"/>
    <w:rsid w:val="002C23C0"/>
    <w:rsid w:val="002C3493"/>
    <w:rsid w:val="002C3DCD"/>
    <w:rsid w:val="002C4DCC"/>
    <w:rsid w:val="002C50E2"/>
    <w:rsid w:val="002C5872"/>
    <w:rsid w:val="002C62C3"/>
    <w:rsid w:val="002C62FF"/>
    <w:rsid w:val="002C68CB"/>
    <w:rsid w:val="002C694E"/>
    <w:rsid w:val="002C6ACE"/>
    <w:rsid w:val="002C73BE"/>
    <w:rsid w:val="002C756F"/>
    <w:rsid w:val="002C7BB6"/>
    <w:rsid w:val="002D06E1"/>
    <w:rsid w:val="002D0783"/>
    <w:rsid w:val="002D0B0C"/>
    <w:rsid w:val="002D0C06"/>
    <w:rsid w:val="002D1F8E"/>
    <w:rsid w:val="002D23E9"/>
    <w:rsid w:val="002D256F"/>
    <w:rsid w:val="002D284F"/>
    <w:rsid w:val="002D2A97"/>
    <w:rsid w:val="002D2D7C"/>
    <w:rsid w:val="002D3224"/>
    <w:rsid w:val="002D5317"/>
    <w:rsid w:val="002D6701"/>
    <w:rsid w:val="002D689A"/>
    <w:rsid w:val="002D68D4"/>
    <w:rsid w:val="002D69C6"/>
    <w:rsid w:val="002E0767"/>
    <w:rsid w:val="002E09C7"/>
    <w:rsid w:val="002E0FFB"/>
    <w:rsid w:val="002E16FC"/>
    <w:rsid w:val="002E1F3A"/>
    <w:rsid w:val="002E2828"/>
    <w:rsid w:val="002E3B8E"/>
    <w:rsid w:val="002E4A22"/>
    <w:rsid w:val="002E4E3B"/>
    <w:rsid w:val="002E5C94"/>
    <w:rsid w:val="002E6225"/>
    <w:rsid w:val="002E6FAA"/>
    <w:rsid w:val="002E7200"/>
    <w:rsid w:val="002E7390"/>
    <w:rsid w:val="002F01D4"/>
    <w:rsid w:val="002F0FB7"/>
    <w:rsid w:val="002F12EB"/>
    <w:rsid w:val="002F1905"/>
    <w:rsid w:val="002F29BD"/>
    <w:rsid w:val="002F2BD0"/>
    <w:rsid w:val="002F2D8B"/>
    <w:rsid w:val="002F2F84"/>
    <w:rsid w:val="002F3062"/>
    <w:rsid w:val="002F39A6"/>
    <w:rsid w:val="002F3F18"/>
    <w:rsid w:val="002F4200"/>
    <w:rsid w:val="002F47B1"/>
    <w:rsid w:val="002F4A50"/>
    <w:rsid w:val="002F4AC7"/>
    <w:rsid w:val="002F4D96"/>
    <w:rsid w:val="002F5679"/>
    <w:rsid w:val="002F6A78"/>
    <w:rsid w:val="002F6B35"/>
    <w:rsid w:val="00300480"/>
    <w:rsid w:val="00300541"/>
    <w:rsid w:val="00300630"/>
    <w:rsid w:val="0030132B"/>
    <w:rsid w:val="00301DFA"/>
    <w:rsid w:val="00301E83"/>
    <w:rsid w:val="00301F67"/>
    <w:rsid w:val="0030228A"/>
    <w:rsid w:val="0030248F"/>
    <w:rsid w:val="00302980"/>
    <w:rsid w:val="00302B52"/>
    <w:rsid w:val="00302BF8"/>
    <w:rsid w:val="00302C18"/>
    <w:rsid w:val="00303998"/>
    <w:rsid w:val="00303BF6"/>
    <w:rsid w:val="003049B5"/>
    <w:rsid w:val="00304AF8"/>
    <w:rsid w:val="00304E9C"/>
    <w:rsid w:val="003050FF"/>
    <w:rsid w:val="003054AC"/>
    <w:rsid w:val="003065D6"/>
    <w:rsid w:val="00306F0E"/>
    <w:rsid w:val="00306FC3"/>
    <w:rsid w:val="00310C58"/>
    <w:rsid w:val="003117B5"/>
    <w:rsid w:val="0031188F"/>
    <w:rsid w:val="00311D41"/>
    <w:rsid w:val="00312530"/>
    <w:rsid w:val="00312950"/>
    <w:rsid w:val="003129A0"/>
    <w:rsid w:val="00312F3F"/>
    <w:rsid w:val="00313197"/>
    <w:rsid w:val="0031362C"/>
    <w:rsid w:val="00313AF0"/>
    <w:rsid w:val="00315940"/>
    <w:rsid w:val="00315ACD"/>
    <w:rsid w:val="00315CE3"/>
    <w:rsid w:val="00315EB1"/>
    <w:rsid w:val="0031607A"/>
    <w:rsid w:val="0031649D"/>
    <w:rsid w:val="0031767D"/>
    <w:rsid w:val="00317837"/>
    <w:rsid w:val="00317B6D"/>
    <w:rsid w:val="00317B92"/>
    <w:rsid w:val="00317C02"/>
    <w:rsid w:val="00317CF5"/>
    <w:rsid w:val="003204E5"/>
    <w:rsid w:val="00320CFD"/>
    <w:rsid w:val="0032168F"/>
    <w:rsid w:val="003225B5"/>
    <w:rsid w:val="00322D06"/>
    <w:rsid w:val="003232D8"/>
    <w:rsid w:val="00323309"/>
    <w:rsid w:val="0032360B"/>
    <w:rsid w:val="003238E1"/>
    <w:rsid w:val="00323CBD"/>
    <w:rsid w:val="00324710"/>
    <w:rsid w:val="003253CB"/>
    <w:rsid w:val="003253DC"/>
    <w:rsid w:val="003256BA"/>
    <w:rsid w:val="003256CD"/>
    <w:rsid w:val="003260AF"/>
    <w:rsid w:val="00326FA0"/>
    <w:rsid w:val="003277F0"/>
    <w:rsid w:val="00327FC3"/>
    <w:rsid w:val="00327FD9"/>
    <w:rsid w:val="00330890"/>
    <w:rsid w:val="00330DAE"/>
    <w:rsid w:val="00331243"/>
    <w:rsid w:val="003313BE"/>
    <w:rsid w:val="00331464"/>
    <w:rsid w:val="003314F6"/>
    <w:rsid w:val="00331516"/>
    <w:rsid w:val="0033151B"/>
    <w:rsid w:val="0033178C"/>
    <w:rsid w:val="00332490"/>
    <w:rsid w:val="00332976"/>
    <w:rsid w:val="00332FCB"/>
    <w:rsid w:val="00333A66"/>
    <w:rsid w:val="00333A87"/>
    <w:rsid w:val="003341B4"/>
    <w:rsid w:val="0033492E"/>
    <w:rsid w:val="003350E5"/>
    <w:rsid w:val="00335657"/>
    <w:rsid w:val="003358A0"/>
    <w:rsid w:val="0033648E"/>
    <w:rsid w:val="00336EE4"/>
    <w:rsid w:val="00337D26"/>
    <w:rsid w:val="003404D8"/>
    <w:rsid w:val="00340857"/>
    <w:rsid w:val="003409D6"/>
    <w:rsid w:val="00340BB1"/>
    <w:rsid w:val="00340E05"/>
    <w:rsid w:val="00340FAE"/>
    <w:rsid w:val="003412BE"/>
    <w:rsid w:val="003417C0"/>
    <w:rsid w:val="00341C7A"/>
    <w:rsid w:val="00342234"/>
    <w:rsid w:val="0034248C"/>
    <w:rsid w:val="00342CAC"/>
    <w:rsid w:val="00342F8C"/>
    <w:rsid w:val="0034312F"/>
    <w:rsid w:val="0034347B"/>
    <w:rsid w:val="00343977"/>
    <w:rsid w:val="00343B0E"/>
    <w:rsid w:val="00343D05"/>
    <w:rsid w:val="00343D97"/>
    <w:rsid w:val="00343F93"/>
    <w:rsid w:val="003441A6"/>
    <w:rsid w:val="0034434C"/>
    <w:rsid w:val="00344642"/>
    <w:rsid w:val="00344D01"/>
    <w:rsid w:val="003456E4"/>
    <w:rsid w:val="003456EE"/>
    <w:rsid w:val="00345845"/>
    <w:rsid w:val="003463A4"/>
    <w:rsid w:val="0035013A"/>
    <w:rsid w:val="0035018A"/>
    <w:rsid w:val="00350C85"/>
    <w:rsid w:val="0035114D"/>
    <w:rsid w:val="003511C4"/>
    <w:rsid w:val="0035131E"/>
    <w:rsid w:val="00351568"/>
    <w:rsid w:val="00351BA1"/>
    <w:rsid w:val="00352FB0"/>
    <w:rsid w:val="003538B5"/>
    <w:rsid w:val="003542A0"/>
    <w:rsid w:val="00354394"/>
    <w:rsid w:val="00354C13"/>
    <w:rsid w:val="0035598C"/>
    <w:rsid w:val="00355C30"/>
    <w:rsid w:val="00356C68"/>
    <w:rsid w:val="00356CA8"/>
    <w:rsid w:val="003573D3"/>
    <w:rsid w:val="003576D4"/>
    <w:rsid w:val="003604E4"/>
    <w:rsid w:val="003613DC"/>
    <w:rsid w:val="003614BC"/>
    <w:rsid w:val="00361BDB"/>
    <w:rsid w:val="00361E49"/>
    <w:rsid w:val="00361E9C"/>
    <w:rsid w:val="0036238E"/>
    <w:rsid w:val="003624EC"/>
    <w:rsid w:val="00362C82"/>
    <w:rsid w:val="00362E05"/>
    <w:rsid w:val="00363339"/>
    <w:rsid w:val="00363549"/>
    <w:rsid w:val="00363B6B"/>
    <w:rsid w:val="00364692"/>
    <w:rsid w:val="00364F50"/>
    <w:rsid w:val="00365075"/>
    <w:rsid w:val="00366760"/>
    <w:rsid w:val="00366D69"/>
    <w:rsid w:val="003702E8"/>
    <w:rsid w:val="0037049A"/>
    <w:rsid w:val="003712EE"/>
    <w:rsid w:val="00371686"/>
    <w:rsid w:val="00371D17"/>
    <w:rsid w:val="0037279B"/>
    <w:rsid w:val="00372A77"/>
    <w:rsid w:val="00373475"/>
    <w:rsid w:val="0037355E"/>
    <w:rsid w:val="00373671"/>
    <w:rsid w:val="003739A2"/>
    <w:rsid w:val="00373B5B"/>
    <w:rsid w:val="00373EF5"/>
    <w:rsid w:val="003748A3"/>
    <w:rsid w:val="00374E64"/>
    <w:rsid w:val="00374E7F"/>
    <w:rsid w:val="00375A26"/>
    <w:rsid w:val="00375BAE"/>
    <w:rsid w:val="00375D22"/>
    <w:rsid w:val="00376BEE"/>
    <w:rsid w:val="0037740C"/>
    <w:rsid w:val="00377E7B"/>
    <w:rsid w:val="00380018"/>
    <w:rsid w:val="00380743"/>
    <w:rsid w:val="0038137E"/>
    <w:rsid w:val="003816C9"/>
    <w:rsid w:val="003820CC"/>
    <w:rsid w:val="003831B3"/>
    <w:rsid w:val="003831E8"/>
    <w:rsid w:val="0038343C"/>
    <w:rsid w:val="003837AC"/>
    <w:rsid w:val="00384429"/>
    <w:rsid w:val="003852D3"/>
    <w:rsid w:val="00385D02"/>
    <w:rsid w:val="00386B14"/>
    <w:rsid w:val="00386DCB"/>
    <w:rsid w:val="00386E81"/>
    <w:rsid w:val="0038715F"/>
    <w:rsid w:val="0038790F"/>
    <w:rsid w:val="00387A9B"/>
    <w:rsid w:val="0039035F"/>
    <w:rsid w:val="00390598"/>
    <w:rsid w:val="00390681"/>
    <w:rsid w:val="00390C29"/>
    <w:rsid w:val="003915D7"/>
    <w:rsid w:val="0039194E"/>
    <w:rsid w:val="00391DD8"/>
    <w:rsid w:val="00392C8F"/>
    <w:rsid w:val="00393348"/>
    <w:rsid w:val="003937C9"/>
    <w:rsid w:val="00393918"/>
    <w:rsid w:val="003941E0"/>
    <w:rsid w:val="003942AC"/>
    <w:rsid w:val="00394533"/>
    <w:rsid w:val="0039625A"/>
    <w:rsid w:val="003965BD"/>
    <w:rsid w:val="003971AC"/>
    <w:rsid w:val="00397214"/>
    <w:rsid w:val="00397348"/>
    <w:rsid w:val="003A0D15"/>
    <w:rsid w:val="003A0EC0"/>
    <w:rsid w:val="003A1EF5"/>
    <w:rsid w:val="003A298E"/>
    <w:rsid w:val="003A2CD3"/>
    <w:rsid w:val="003A2DC6"/>
    <w:rsid w:val="003A31C9"/>
    <w:rsid w:val="003A31E5"/>
    <w:rsid w:val="003A3488"/>
    <w:rsid w:val="003A39C4"/>
    <w:rsid w:val="003A5168"/>
    <w:rsid w:val="003A553C"/>
    <w:rsid w:val="003A595D"/>
    <w:rsid w:val="003A5A8A"/>
    <w:rsid w:val="003A66FE"/>
    <w:rsid w:val="003A6A88"/>
    <w:rsid w:val="003A6CEF"/>
    <w:rsid w:val="003A77BF"/>
    <w:rsid w:val="003B0198"/>
    <w:rsid w:val="003B0707"/>
    <w:rsid w:val="003B0900"/>
    <w:rsid w:val="003B1514"/>
    <w:rsid w:val="003B15F3"/>
    <w:rsid w:val="003B162C"/>
    <w:rsid w:val="003B170E"/>
    <w:rsid w:val="003B18D7"/>
    <w:rsid w:val="003B27FB"/>
    <w:rsid w:val="003B2951"/>
    <w:rsid w:val="003B3171"/>
    <w:rsid w:val="003B3644"/>
    <w:rsid w:val="003B4178"/>
    <w:rsid w:val="003B437D"/>
    <w:rsid w:val="003B491D"/>
    <w:rsid w:val="003B507E"/>
    <w:rsid w:val="003B6312"/>
    <w:rsid w:val="003B6336"/>
    <w:rsid w:val="003B649A"/>
    <w:rsid w:val="003B703D"/>
    <w:rsid w:val="003B710D"/>
    <w:rsid w:val="003B79F1"/>
    <w:rsid w:val="003B7AC7"/>
    <w:rsid w:val="003B7CCD"/>
    <w:rsid w:val="003C024E"/>
    <w:rsid w:val="003C06EA"/>
    <w:rsid w:val="003C0CF4"/>
    <w:rsid w:val="003C15A9"/>
    <w:rsid w:val="003C26E7"/>
    <w:rsid w:val="003C4186"/>
    <w:rsid w:val="003C454A"/>
    <w:rsid w:val="003C4E39"/>
    <w:rsid w:val="003C5210"/>
    <w:rsid w:val="003C699A"/>
    <w:rsid w:val="003C7086"/>
    <w:rsid w:val="003C75BA"/>
    <w:rsid w:val="003C7D94"/>
    <w:rsid w:val="003D0584"/>
    <w:rsid w:val="003D05ED"/>
    <w:rsid w:val="003D123B"/>
    <w:rsid w:val="003D191E"/>
    <w:rsid w:val="003D19C2"/>
    <w:rsid w:val="003D2FD2"/>
    <w:rsid w:val="003D3C21"/>
    <w:rsid w:val="003D3F8E"/>
    <w:rsid w:val="003D45E7"/>
    <w:rsid w:val="003D4B40"/>
    <w:rsid w:val="003D5ECB"/>
    <w:rsid w:val="003D61C2"/>
    <w:rsid w:val="003D654C"/>
    <w:rsid w:val="003D65C8"/>
    <w:rsid w:val="003D701F"/>
    <w:rsid w:val="003D7543"/>
    <w:rsid w:val="003E03CE"/>
    <w:rsid w:val="003E0741"/>
    <w:rsid w:val="003E08FB"/>
    <w:rsid w:val="003E1464"/>
    <w:rsid w:val="003E272F"/>
    <w:rsid w:val="003E29AB"/>
    <w:rsid w:val="003E2A45"/>
    <w:rsid w:val="003E3760"/>
    <w:rsid w:val="003E3C8E"/>
    <w:rsid w:val="003E4614"/>
    <w:rsid w:val="003E54B9"/>
    <w:rsid w:val="003E5BB0"/>
    <w:rsid w:val="003E629F"/>
    <w:rsid w:val="003E76F1"/>
    <w:rsid w:val="003E7A53"/>
    <w:rsid w:val="003E7B19"/>
    <w:rsid w:val="003E7B67"/>
    <w:rsid w:val="003E7CA0"/>
    <w:rsid w:val="003F00C0"/>
    <w:rsid w:val="003F0E2E"/>
    <w:rsid w:val="003F138D"/>
    <w:rsid w:val="003F20A6"/>
    <w:rsid w:val="003F20DE"/>
    <w:rsid w:val="003F3F15"/>
    <w:rsid w:val="003F5446"/>
    <w:rsid w:val="003F54D3"/>
    <w:rsid w:val="003F5C1D"/>
    <w:rsid w:val="003F6659"/>
    <w:rsid w:val="003F6A03"/>
    <w:rsid w:val="003F7D67"/>
    <w:rsid w:val="003F7FE5"/>
    <w:rsid w:val="004005D3"/>
    <w:rsid w:val="0040072A"/>
    <w:rsid w:val="004010E6"/>
    <w:rsid w:val="004014AB"/>
    <w:rsid w:val="00401BEF"/>
    <w:rsid w:val="00402206"/>
    <w:rsid w:val="00402551"/>
    <w:rsid w:val="0040296F"/>
    <w:rsid w:val="00402B13"/>
    <w:rsid w:val="00402D39"/>
    <w:rsid w:val="00402DCC"/>
    <w:rsid w:val="00403753"/>
    <w:rsid w:val="0040434B"/>
    <w:rsid w:val="004048A0"/>
    <w:rsid w:val="00404952"/>
    <w:rsid w:val="0040573B"/>
    <w:rsid w:val="00405A52"/>
    <w:rsid w:val="00405E39"/>
    <w:rsid w:val="0040623D"/>
    <w:rsid w:val="00406630"/>
    <w:rsid w:val="004067C3"/>
    <w:rsid w:val="00406AC2"/>
    <w:rsid w:val="0040769E"/>
    <w:rsid w:val="00407ECC"/>
    <w:rsid w:val="0041011B"/>
    <w:rsid w:val="004104DD"/>
    <w:rsid w:val="004106E6"/>
    <w:rsid w:val="00410DBD"/>
    <w:rsid w:val="0041155C"/>
    <w:rsid w:val="004119D2"/>
    <w:rsid w:val="00412063"/>
    <w:rsid w:val="0041214F"/>
    <w:rsid w:val="00412CB1"/>
    <w:rsid w:val="00413ABA"/>
    <w:rsid w:val="00413FC1"/>
    <w:rsid w:val="00414A91"/>
    <w:rsid w:val="004156EE"/>
    <w:rsid w:val="00415C83"/>
    <w:rsid w:val="00415C97"/>
    <w:rsid w:val="00415EBF"/>
    <w:rsid w:val="004162E5"/>
    <w:rsid w:val="00416443"/>
    <w:rsid w:val="004165AB"/>
    <w:rsid w:val="004179FD"/>
    <w:rsid w:val="00420E8D"/>
    <w:rsid w:val="004211D8"/>
    <w:rsid w:val="004218D7"/>
    <w:rsid w:val="00421995"/>
    <w:rsid w:val="004220B9"/>
    <w:rsid w:val="004233F3"/>
    <w:rsid w:val="00423D73"/>
    <w:rsid w:val="00424CE6"/>
    <w:rsid w:val="00425416"/>
    <w:rsid w:val="00425B2D"/>
    <w:rsid w:val="00425CAF"/>
    <w:rsid w:val="00425D12"/>
    <w:rsid w:val="0042644D"/>
    <w:rsid w:val="004266D4"/>
    <w:rsid w:val="00426D0E"/>
    <w:rsid w:val="00427D4F"/>
    <w:rsid w:val="00427F0A"/>
    <w:rsid w:val="00427FA5"/>
    <w:rsid w:val="00430438"/>
    <w:rsid w:val="00430CE9"/>
    <w:rsid w:val="0043189B"/>
    <w:rsid w:val="00431E3F"/>
    <w:rsid w:val="00431E87"/>
    <w:rsid w:val="00432F3D"/>
    <w:rsid w:val="004332A7"/>
    <w:rsid w:val="0043371E"/>
    <w:rsid w:val="00434468"/>
    <w:rsid w:val="00434ACE"/>
    <w:rsid w:val="00434C07"/>
    <w:rsid w:val="00434D65"/>
    <w:rsid w:val="00435091"/>
    <w:rsid w:val="0043535D"/>
    <w:rsid w:val="004361C7"/>
    <w:rsid w:val="00436C53"/>
    <w:rsid w:val="0043716C"/>
    <w:rsid w:val="004373D3"/>
    <w:rsid w:val="004375F7"/>
    <w:rsid w:val="0043770F"/>
    <w:rsid w:val="00437820"/>
    <w:rsid w:val="00437996"/>
    <w:rsid w:val="00437B17"/>
    <w:rsid w:val="00437C4E"/>
    <w:rsid w:val="00437E29"/>
    <w:rsid w:val="004408AA"/>
    <w:rsid w:val="004409C1"/>
    <w:rsid w:val="004411AA"/>
    <w:rsid w:val="004413A9"/>
    <w:rsid w:val="00441D21"/>
    <w:rsid w:val="0044243C"/>
    <w:rsid w:val="00442649"/>
    <w:rsid w:val="00442F00"/>
    <w:rsid w:val="004432BF"/>
    <w:rsid w:val="00443520"/>
    <w:rsid w:val="00443583"/>
    <w:rsid w:val="00443860"/>
    <w:rsid w:val="0044431C"/>
    <w:rsid w:val="004448D0"/>
    <w:rsid w:val="0044527D"/>
    <w:rsid w:val="00445401"/>
    <w:rsid w:val="00446D10"/>
    <w:rsid w:val="00446EC4"/>
    <w:rsid w:val="0044744E"/>
    <w:rsid w:val="004501A3"/>
    <w:rsid w:val="00450439"/>
    <w:rsid w:val="004506CA"/>
    <w:rsid w:val="004508FB"/>
    <w:rsid w:val="0045098F"/>
    <w:rsid w:val="00450A43"/>
    <w:rsid w:val="00450C21"/>
    <w:rsid w:val="00450E23"/>
    <w:rsid w:val="0045141B"/>
    <w:rsid w:val="00451AFD"/>
    <w:rsid w:val="00451B16"/>
    <w:rsid w:val="00452BC6"/>
    <w:rsid w:val="00453A16"/>
    <w:rsid w:val="004540BD"/>
    <w:rsid w:val="00454FB3"/>
    <w:rsid w:val="00455C28"/>
    <w:rsid w:val="00455F9B"/>
    <w:rsid w:val="004569C4"/>
    <w:rsid w:val="0045762B"/>
    <w:rsid w:val="004608FE"/>
    <w:rsid w:val="00461490"/>
    <w:rsid w:val="004629C7"/>
    <w:rsid w:val="00462CB5"/>
    <w:rsid w:val="00462EB8"/>
    <w:rsid w:val="004631A8"/>
    <w:rsid w:val="00463D54"/>
    <w:rsid w:val="00464C79"/>
    <w:rsid w:val="00464CD8"/>
    <w:rsid w:val="00464E05"/>
    <w:rsid w:val="004651B5"/>
    <w:rsid w:val="004654CB"/>
    <w:rsid w:val="00466A4B"/>
    <w:rsid w:val="0046738A"/>
    <w:rsid w:val="00467CD0"/>
    <w:rsid w:val="00467EBF"/>
    <w:rsid w:val="00467FDE"/>
    <w:rsid w:val="004703B0"/>
    <w:rsid w:val="004705CA"/>
    <w:rsid w:val="00470CE6"/>
    <w:rsid w:val="0047104C"/>
    <w:rsid w:val="00472912"/>
    <w:rsid w:val="004729FD"/>
    <w:rsid w:val="00472AE4"/>
    <w:rsid w:val="00472C3D"/>
    <w:rsid w:val="0047345A"/>
    <w:rsid w:val="00473AAD"/>
    <w:rsid w:val="00473DF0"/>
    <w:rsid w:val="00473F81"/>
    <w:rsid w:val="00475306"/>
    <w:rsid w:val="0047538B"/>
    <w:rsid w:val="004753CB"/>
    <w:rsid w:val="00476384"/>
    <w:rsid w:val="0047661D"/>
    <w:rsid w:val="004772A0"/>
    <w:rsid w:val="00477C3E"/>
    <w:rsid w:val="004802DA"/>
    <w:rsid w:val="00480381"/>
    <w:rsid w:val="00480720"/>
    <w:rsid w:val="00481662"/>
    <w:rsid w:val="0048325E"/>
    <w:rsid w:val="00484601"/>
    <w:rsid w:val="004846CA"/>
    <w:rsid w:val="00484823"/>
    <w:rsid w:val="00484FE2"/>
    <w:rsid w:val="0048533B"/>
    <w:rsid w:val="004854D7"/>
    <w:rsid w:val="0048610A"/>
    <w:rsid w:val="004866A6"/>
    <w:rsid w:val="004867F5"/>
    <w:rsid w:val="00490195"/>
    <w:rsid w:val="004902B3"/>
    <w:rsid w:val="004908F5"/>
    <w:rsid w:val="00490F79"/>
    <w:rsid w:val="00491496"/>
    <w:rsid w:val="004917E3"/>
    <w:rsid w:val="00491C07"/>
    <w:rsid w:val="00491FA8"/>
    <w:rsid w:val="004931D4"/>
    <w:rsid w:val="00493287"/>
    <w:rsid w:val="00493962"/>
    <w:rsid w:val="004939A3"/>
    <w:rsid w:val="00493B0B"/>
    <w:rsid w:val="0049476B"/>
    <w:rsid w:val="004955AD"/>
    <w:rsid w:val="00495C55"/>
    <w:rsid w:val="0049612F"/>
    <w:rsid w:val="00496694"/>
    <w:rsid w:val="00496D96"/>
    <w:rsid w:val="00496EC6"/>
    <w:rsid w:val="00497634"/>
    <w:rsid w:val="00497904"/>
    <w:rsid w:val="004A074B"/>
    <w:rsid w:val="004A0FAB"/>
    <w:rsid w:val="004A1E91"/>
    <w:rsid w:val="004A1FAC"/>
    <w:rsid w:val="004A264D"/>
    <w:rsid w:val="004A2684"/>
    <w:rsid w:val="004A3A4D"/>
    <w:rsid w:val="004A59DB"/>
    <w:rsid w:val="004A60D3"/>
    <w:rsid w:val="004A6147"/>
    <w:rsid w:val="004A6589"/>
    <w:rsid w:val="004A6ADC"/>
    <w:rsid w:val="004A7355"/>
    <w:rsid w:val="004A7643"/>
    <w:rsid w:val="004A7E7F"/>
    <w:rsid w:val="004B0544"/>
    <w:rsid w:val="004B05BA"/>
    <w:rsid w:val="004B0918"/>
    <w:rsid w:val="004B0B02"/>
    <w:rsid w:val="004B1656"/>
    <w:rsid w:val="004B1A72"/>
    <w:rsid w:val="004B228F"/>
    <w:rsid w:val="004B2B0A"/>
    <w:rsid w:val="004B2CA8"/>
    <w:rsid w:val="004B2FDB"/>
    <w:rsid w:val="004B3113"/>
    <w:rsid w:val="004B3396"/>
    <w:rsid w:val="004B3A5F"/>
    <w:rsid w:val="004B502F"/>
    <w:rsid w:val="004B5441"/>
    <w:rsid w:val="004B56C4"/>
    <w:rsid w:val="004B5762"/>
    <w:rsid w:val="004B57CE"/>
    <w:rsid w:val="004B5FF9"/>
    <w:rsid w:val="004C0008"/>
    <w:rsid w:val="004C00DA"/>
    <w:rsid w:val="004C0468"/>
    <w:rsid w:val="004C0764"/>
    <w:rsid w:val="004C08CD"/>
    <w:rsid w:val="004C0AD4"/>
    <w:rsid w:val="004C11C9"/>
    <w:rsid w:val="004C1807"/>
    <w:rsid w:val="004C1CBE"/>
    <w:rsid w:val="004C1D02"/>
    <w:rsid w:val="004C226F"/>
    <w:rsid w:val="004C30E9"/>
    <w:rsid w:val="004C32AF"/>
    <w:rsid w:val="004C34D6"/>
    <w:rsid w:val="004C3B45"/>
    <w:rsid w:val="004C4A2A"/>
    <w:rsid w:val="004C56AA"/>
    <w:rsid w:val="004C5C96"/>
    <w:rsid w:val="004C5F54"/>
    <w:rsid w:val="004C6064"/>
    <w:rsid w:val="004C6247"/>
    <w:rsid w:val="004C6900"/>
    <w:rsid w:val="004C6D5E"/>
    <w:rsid w:val="004C6F6D"/>
    <w:rsid w:val="004C75CB"/>
    <w:rsid w:val="004C7751"/>
    <w:rsid w:val="004C7825"/>
    <w:rsid w:val="004D0161"/>
    <w:rsid w:val="004D0EB2"/>
    <w:rsid w:val="004D268E"/>
    <w:rsid w:val="004D26AF"/>
    <w:rsid w:val="004D312B"/>
    <w:rsid w:val="004D3180"/>
    <w:rsid w:val="004D350F"/>
    <w:rsid w:val="004D3BF2"/>
    <w:rsid w:val="004D4353"/>
    <w:rsid w:val="004D480B"/>
    <w:rsid w:val="004D506A"/>
    <w:rsid w:val="004D5512"/>
    <w:rsid w:val="004D57CC"/>
    <w:rsid w:val="004D5ED9"/>
    <w:rsid w:val="004D6043"/>
    <w:rsid w:val="004D6B67"/>
    <w:rsid w:val="004D6DCD"/>
    <w:rsid w:val="004D721C"/>
    <w:rsid w:val="004D73B6"/>
    <w:rsid w:val="004D7447"/>
    <w:rsid w:val="004D7CAF"/>
    <w:rsid w:val="004E04D3"/>
    <w:rsid w:val="004E09A1"/>
    <w:rsid w:val="004E0A6F"/>
    <w:rsid w:val="004E1270"/>
    <w:rsid w:val="004E335F"/>
    <w:rsid w:val="004E4847"/>
    <w:rsid w:val="004E50B7"/>
    <w:rsid w:val="004E5915"/>
    <w:rsid w:val="004E5BD8"/>
    <w:rsid w:val="004E6276"/>
    <w:rsid w:val="004E645F"/>
    <w:rsid w:val="004E6E64"/>
    <w:rsid w:val="004E7634"/>
    <w:rsid w:val="004F01AB"/>
    <w:rsid w:val="004F08AF"/>
    <w:rsid w:val="004F2DDE"/>
    <w:rsid w:val="004F3474"/>
    <w:rsid w:val="004F36E0"/>
    <w:rsid w:val="004F45CD"/>
    <w:rsid w:val="004F55C0"/>
    <w:rsid w:val="004F5876"/>
    <w:rsid w:val="004F5C62"/>
    <w:rsid w:val="004F5CB8"/>
    <w:rsid w:val="004F5E5F"/>
    <w:rsid w:val="004F674F"/>
    <w:rsid w:val="004F6B78"/>
    <w:rsid w:val="004F6BAD"/>
    <w:rsid w:val="004F78E6"/>
    <w:rsid w:val="004F7A1F"/>
    <w:rsid w:val="004F7A9D"/>
    <w:rsid w:val="004F7C39"/>
    <w:rsid w:val="0050049D"/>
    <w:rsid w:val="00501529"/>
    <w:rsid w:val="00501732"/>
    <w:rsid w:val="00501F1E"/>
    <w:rsid w:val="00502395"/>
    <w:rsid w:val="00502EEF"/>
    <w:rsid w:val="0050336D"/>
    <w:rsid w:val="00503F9B"/>
    <w:rsid w:val="005042C8"/>
    <w:rsid w:val="005047A1"/>
    <w:rsid w:val="00505043"/>
    <w:rsid w:val="005050A5"/>
    <w:rsid w:val="0050510B"/>
    <w:rsid w:val="0050753F"/>
    <w:rsid w:val="00507BDF"/>
    <w:rsid w:val="00507E1C"/>
    <w:rsid w:val="00510308"/>
    <w:rsid w:val="00510D2A"/>
    <w:rsid w:val="00510EAE"/>
    <w:rsid w:val="0051143F"/>
    <w:rsid w:val="00511500"/>
    <w:rsid w:val="0051188F"/>
    <w:rsid w:val="00512149"/>
    <w:rsid w:val="00512791"/>
    <w:rsid w:val="00512815"/>
    <w:rsid w:val="00513140"/>
    <w:rsid w:val="00513B45"/>
    <w:rsid w:val="00514293"/>
    <w:rsid w:val="00514B7A"/>
    <w:rsid w:val="00514B98"/>
    <w:rsid w:val="00514F8D"/>
    <w:rsid w:val="005164AA"/>
    <w:rsid w:val="00516998"/>
    <w:rsid w:val="00516BE2"/>
    <w:rsid w:val="005171F6"/>
    <w:rsid w:val="00517CD7"/>
    <w:rsid w:val="00517D40"/>
    <w:rsid w:val="00517E01"/>
    <w:rsid w:val="00517F6C"/>
    <w:rsid w:val="00520399"/>
    <w:rsid w:val="00521C6F"/>
    <w:rsid w:val="00522466"/>
    <w:rsid w:val="005229DF"/>
    <w:rsid w:val="00523430"/>
    <w:rsid w:val="0052358B"/>
    <w:rsid w:val="00523F38"/>
    <w:rsid w:val="00525AF5"/>
    <w:rsid w:val="00525DC1"/>
    <w:rsid w:val="00526AAB"/>
    <w:rsid w:val="00526C5A"/>
    <w:rsid w:val="0052741A"/>
    <w:rsid w:val="0052742A"/>
    <w:rsid w:val="0052769C"/>
    <w:rsid w:val="005279FB"/>
    <w:rsid w:val="00527DCB"/>
    <w:rsid w:val="005308E8"/>
    <w:rsid w:val="00530CA9"/>
    <w:rsid w:val="00531399"/>
    <w:rsid w:val="00531444"/>
    <w:rsid w:val="005316C4"/>
    <w:rsid w:val="00531B2D"/>
    <w:rsid w:val="00531B74"/>
    <w:rsid w:val="005328A2"/>
    <w:rsid w:val="005335B4"/>
    <w:rsid w:val="005338C6"/>
    <w:rsid w:val="00533B14"/>
    <w:rsid w:val="00533DFF"/>
    <w:rsid w:val="00534573"/>
    <w:rsid w:val="00534660"/>
    <w:rsid w:val="005348D8"/>
    <w:rsid w:val="0053579C"/>
    <w:rsid w:val="00536226"/>
    <w:rsid w:val="005364ED"/>
    <w:rsid w:val="0053679F"/>
    <w:rsid w:val="005373CE"/>
    <w:rsid w:val="005378C4"/>
    <w:rsid w:val="00540410"/>
    <w:rsid w:val="005408CE"/>
    <w:rsid w:val="00540AEA"/>
    <w:rsid w:val="00540DE8"/>
    <w:rsid w:val="00541284"/>
    <w:rsid w:val="005412CC"/>
    <w:rsid w:val="00541388"/>
    <w:rsid w:val="00541602"/>
    <w:rsid w:val="005418F5"/>
    <w:rsid w:val="00541F28"/>
    <w:rsid w:val="00541F4C"/>
    <w:rsid w:val="005424DA"/>
    <w:rsid w:val="00542952"/>
    <w:rsid w:val="005433EF"/>
    <w:rsid w:val="00543939"/>
    <w:rsid w:val="005439B7"/>
    <w:rsid w:val="005439EA"/>
    <w:rsid w:val="00543BB4"/>
    <w:rsid w:val="005445E3"/>
    <w:rsid w:val="0054471B"/>
    <w:rsid w:val="00544731"/>
    <w:rsid w:val="00544A10"/>
    <w:rsid w:val="00545214"/>
    <w:rsid w:val="005459F0"/>
    <w:rsid w:val="00545FCC"/>
    <w:rsid w:val="0054779A"/>
    <w:rsid w:val="0054790D"/>
    <w:rsid w:val="005515CC"/>
    <w:rsid w:val="00552605"/>
    <w:rsid w:val="005528E9"/>
    <w:rsid w:val="0055294C"/>
    <w:rsid w:val="0055315D"/>
    <w:rsid w:val="00553EF9"/>
    <w:rsid w:val="00554554"/>
    <w:rsid w:val="0055470F"/>
    <w:rsid w:val="00555363"/>
    <w:rsid w:val="0055542A"/>
    <w:rsid w:val="00555879"/>
    <w:rsid w:val="00555C13"/>
    <w:rsid w:val="00556281"/>
    <w:rsid w:val="00556284"/>
    <w:rsid w:val="005563B4"/>
    <w:rsid w:val="0055777E"/>
    <w:rsid w:val="005600B2"/>
    <w:rsid w:val="0056069E"/>
    <w:rsid w:val="005607F6"/>
    <w:rsid w:val="00560B90"/>
    <w:rsid w:val="00560D9C"/>
    <w:rsid w:val="00560E34"/>
    <w:rsid w:val="005615A5"/>
    <w:rsid w:val="005620AB"/>
    <w:rsid w:val="00562759"/>
    <w:rsid w:val="00562A2C"/>
    <w:rsid w:val="0056336E"/>
    <w:rsid w:val="00563CDD"/>
    <w:rsid w:val="0056495A"/>
    <w:rsid w:val="00564B34"/>
    <w:rsid w:val="00564FB7"/>
    <w:rsid w:val="0056700D"/>
    <w:rsid w:val="00567118"/>
    <w:rsid w:val="005677E6"/>
    <w:rsid w:val="005679D4"/>
    <w:rsid w:val="00567D39"/>
    <w:rsid w:val="0057039B"/>
    <w:rsid w:val="0057050A"/>
    <w:rsid w:val="00570510"/>
    <w:rsid w:val="00570586"/>
    <w:rsid w:val="00570AB1"/>
    <w:rsid w:val="005725BD"/>
    <w:rsid w:val="00572ED9"/>
    <w:rsid w:val="00573466"/>
    <w:rsid w:val="0057362E"/>
    <w:rsid w:val="00573D21"/>
    <w:rsid w:val="0057442A"/>
    <w:rsid w:val="00574715"/>
    <w:rsid w:val="00574822"/>
    <w:rsid w:val="0057496D"/>
    <w:rsid w:val="0057504A"/>
    <w:rsid w:val="005759D7"/>
    <w:rsid w:val="00577FCA"/>
    <w:rsid w:val="00580361"/>
    <w:rsid w:val="00580C5D"/>
    <w:rsid w:val="00581CD8"/>
    <w:rsid w:val="00582D7A"/>
    <w:rsid w:val="00583159"/>
    <w:rsid w:val="00583219"/>
    <w:rsid w:val="0058359E"/>
    <w:rsid w:val="00583642"/>
    <w:rsid w:val="005837CA"/>
    <w:rsid w:val="0058481A"/>
    <w:rsid w:val="00584CF6"/>
    <w:rsid w:val="00585830"/>
    <w:rsid w:val="00585F19"/>
    <w:rsid w:val="0058625D"/>
    <w:rsid w:val="0058790C"/>
    <w:rsid w:val="00587D7A"/>
    <w:rsid w:val="00590A2D"/>
    <w:rsid w:val="00590E01"/>
    <w:rsid w:val="00590FA1"/>
    <w:rsid w:val="005912F1"/>
    <w:rsid w:val="005915C5"/>
    <w:rsid w:val="00591A5E"/>
    <w:rsid w:val="00592860"/>
    <w:rsid w:val="00592D27"/>
    <w:rsid w:val="005936F7"/>
    <w:rsid w:val="00593700"/>
    <w:rsid w:val="00593AF5"/>
    <w:rsid w:val="005940D5"/>
    <w:rsid w:val="0059420F"/>
    <w:rsid w:val="00594519"/>
    <w:rsid w:val="00595625"/>
    <w:rsid w:val="00595A53"/>
    <w:rsid w:val="00595C75"/>
    <w:rsid w:val="005967F8"/>
    <w:rsid w:val="00596C7A"/>
    <w:rsid w:val="0059761B"/>
    <w:rsid w:val="00597DEB"/>
    <w:rsid w:val="005A0A0E"/>
    <w:rsid w:val="005A1AF2"/>
    <w:rsid w:val="005A1B1F"/>
    <w:rsid w:val="005A1B6F"/>
    <w:rsid w:val="005A309C"/>
    <w:rsid w:val="005A3B0E"/>
    <w:rsid w:val="005A420B"/>
    <w:rsid w:val="005A4FC0"/>
    <w:rsid w:val="005A5D38"/>
    <w:rsid w:val="005A6556"/>
    <w:rsid w:val="005A6B23"/>
    <w:rsid w:val="005A6B76"/>
    <w:rsid w:val="005B03C6"/>
    <w:rsid w:val="005B0C45"/>
    <w:rsid w:val="005B0F45"/>
    <w:rsid w:val="005B0F68"/>
    <w:rsid w:val="005B1C42"/>
    <w:rsid w:val="005B2003"/>
    <w:rsid w:val="005B2E7F"/>
    <w:rsid w:val="005B2F00"/>
    <w:rsid w:val="005B3719"/>
    <w:rsid w:val="005B3D2D"/>
    <w:rsid w:val="005B4256"/>
    <w:rsid w:val="005B476F"/>
    <w:rsid w:val="005B4BF1"/>
    <w:rsid w:val="005B4EED"/>
    <w:rsid w:val="005B5639"/>
    <w:rsid w:val="005B5B0C"/>
    <w:rsid w:val="005B5C7E"/>
    <w:rsid w:val="005B5E3F"/>
    <w:rsid w:val="005B6071"/>
    <w:rsid w:val="005B6B4B"/>
    <w:rsid w:val="005B6C46"/>
    <w:rsid w:val="005B6E8E"/>
    <w:rsid w:val="005B70FC"/>
    <w:rsid w:val="005B7217"/>
    <w:rsid w:val="005B74C9"/>
    <w:rsid w:val="005B7979"/>
    <w:rsid w:val="005C120E"/>
    <w:rsid w:val="005C16D6"/>
    <w:rsid w:val="005C1938"/>
    <w:rsid w:val="005C2096"/>
    <w:rsid w:val="005C24F3"/>
    <w:rsid w:val="005C298C"/>
    <w:rsid w:val="005C2B40"/>
    <w:rsid w:val="005C3340"/>
    <w:rsid w:val="005C374C"/>
    <w:rsid w:val="005C38B8"/>
    <w:rsid w:val="005C3981"/>
    <w:rsid w:val="005C3C55"/>
    <w:rsid w:val="005C4617"/>
    <w:rsid w:val="005C476F"/>
    <w:rsid w:val="005C47F3"/>
    <w:rsid w:val="005C484D"/>
    <w:rsid w:val="005C4887"/>
    <w:rsid w:val="005C623A"/>
    <w:rsid w:val="005C638C"/>
    <w:rsid w:val="005C63A7"/>
    <w:rsid w:val="005C6A82"/>
    <w:rsid w:val="005C6EA6"/>
    <w:rsid w:val="005C7641"/>
    <w:rsid w:val="005C7C18"/>
    <w:rsid w:val="005D03BE"/>
    <w:rsid w:val="005D0C0E"/>
    <w:rsid w:val="005D1499"/>
    <w:rsid w:val="005D23E0"/>
    <w:rsid w:val="005D26DE"/>
    <w:rsid w:val="005D3E98"/>
    <w:rsid w:val="005D47F8"/>
    <w:rsid w:val="005D4919"/>
    <w:rsid w:val="005D4BBE"/>
    <w:rsid w:val="005D4FBC"/>
    <w:rsid w:val="005D5418"/>
    <w:rsid w:val="005D5747"/>
    <w:rsid w:val="005D5FCD"/>
    <w:rsid w:val="005D7687"/>
    <w:rsid w:val="005E0252"/>
    <w:rsid w:val="005E0CFD"/>
    <w:rsid w:val="005E0F3A"/>
    <w:rsid w:val="005E1744"/>
    <w:rsid w:val="005E234C"/>
    <w:rsid w:val="005E2C91"/>
    <w:rsid w:val="005E3170"/>
    <w:rsid w:val="005E3674"/>
    <w:rsid w:val="005E37FA"/>
    <w:rsid w:val="005E3C0E"/>
    <w:rsid w:val="005E41D5"/>
    <w:rsid w:val="005E4817"/>
    <w:rsid w:val="005E4F4C"/>
    <w:rsid w:val="005E51F6"/>
    <w:rsid w:val="005E5DFD"/>
    <w:rsid w:val="005E6BCD"/>
    <w:rsid w:val="005E78A0"/>
    <w:rsid w:val="005E7C55"/>
    <w:rsid w:val="005F1691"/>
    <w:rsid w:val="005F374C"/>
    <w:rsid w:val="005F3754"/>
    <w:rsid w:val="005F40C6"/>
    <w:rsid w:val="005F451B"/>
    <w:rsid w:val="005F4F40"/>
    <w:rsid w:val="005F511E"/>
    <w:rsid w:val="005F5240"/>
    <w:rsid w:val="005F54E2"/>
    <w:rsid w:val="005F60BB"/>
    <w:rsid w:val="005F65E4"/>
    <w:rsid w:val="005F6B13"/>
    <w:rsid w:val="005F6E24"/>
    <w:rsid w:val="005F7D18"/>
    <w:rsid w:val="006002EC"/>
    <w:rsid w:val="006005BC"/>
    <w:rsid w:val="00601D4A"/>
    <w:rsid w:val="00601FDA"/>
    <w:rsid w:val="00601FE5"/>
    <w:rsid w:val="006023EB"/>
    <w:rsid w:val="00602701"/>
    <w:rsid w:val="006033F9"/>
    <w:rsid w:val="00603553"/>
    <w:rsid w:val="00603603"/>
    <w:rsid w:val="00603A2D"/>
    <w:rsid w:val="00604733"/>
    <w:rsid w:val="00605349"/>
    <w:rsid w:val="006054CE"/>
    <w:rsid w:val="00606B81"/>
    <w:rsid w:val="00607363"/>
    <w:rsid w:val="006079DE"/>
    <w:rsid w:val="00610485"/>
    <w:rsid w:val="0061048B"/>
    <w:rsid w:val="00610779"/>
    <w:rsid w:val="00611759"/>
    <w:rsid w:val="0061219D"/>
    <w:rsid w:val="00612589"/>
    <w:rsid w:val="00612C19"/>
    <w:rsid w:val="00612E05"/>
    <w:rsid w:val="00613504"/>
    <w:rsid w:val="006139D4"/>
    <w:rsid w:val="00613A75"/>
    <w:rsid w:val="00614613"/>
    <w:rsid w:val="00614DC3"/>
    <w:rsid w:val="00615748"/>
    <w:rsid w:val="00615A2B"/>
    <w:rsid w:val="00615A8C"/>
    <w:rsid w:val="0061654F"/>
    <w:rsid w:val="0061696D"/>
    <w:rsid w:val="00617014"/>
    <w:rsid w:val="00617195"/>
    <w:rsid w:val="00617265"/>
    <w:rsid w:val="006172F6"/>
    <w:rsid w:val="00617636"/>
    <w:rsid w:val="00621510"/>
    <w:rsid w:val="00621DE2"/>
    <w:rsid w:val="006223D8"/>
    <w:rsid w:val="00623B79"/>
    <w:rsid w:val="006240E2"/>
    <w:rsid w:val="00624457"/>
    <w:rsid w:val="006244DF"/>
    <w:rsid w:val="00624917"/>
    <w:rsid w:val="0062709C"/>
    <w:rsid w:val="006271AA"/>
    <w:rsid w:val="00630705"/>
    <w:rsid w:val="0063347A"/>
    <w:rsid w:val="00634577"/>
    <w:rsid w:val="0063545E"/>
    <w:rsid w:val="00635FFB"/>
    <w:rsid w:val="0063718B"/>
    <w:rsid w:val="00637298"/>
    <w:rsid w:val="0063757F"/>
    <w:rsid w:val="00637DFC"/>
    <w:rsid w:val="00637E44"/>
    <w:rsid w:val="00640C62"/>
    <w:rsid w:val="00642546"/>
    <w:rsid w:val="00642D52"/>
    <w:rsid w:val="006433F0"/>
    <w:rsid w:val="00643B53"/>
    <w:rsid w:val="006441E4"/>
    <w:rsid w:val="00644693"/>
    <w:rsid w:val="006451F2"/>
    <w:rsid w:val="006457BB"/>
    <w:rsid w:val="00646022"/>
    <w:rsid w:val="006476FD"/>
    <w:rsid w:val="00647F99"/>
    <w:rsid w:val="006502F8"/>
    <w:rsid w:val="0065084B"/>
    <w:rsid w:val="00650982"/>
    <w:rsid w:val="006514F5"/>
    <w:rsid w:val="006519E8"/>
    <w:rsid w:val="0065358B"/>
    <w:rsid w:val="00654027"/>
    <w:rsid w:val="00654A63"/>
    <w:rsid w:val="00654AB7"/>
    <w:rsid w:val="00655148"/>
    <w:rsid w:val="00656EBC"/>
    <w:rsid w:val="006577DB"/>
    <w:rsid w:val="00657A4D"/>
    <w:rsid w:val="00657E61"/>
    <w:rsid w:val="00660E4F"/>
    <w:rsid w:val="00660E52"/>
    <w:rsid w:val="0066172B"/>
    <w:rsid w:val="00662010"/>
    <w:rsid w:val="0066284B"/>
    <w:rsid w:val="00662D59"/>
    <w:rsid w:val="00663BBA"/>
    <w:rsid w:val="00664691"/>
    <w:rsid w:val="00665473"/>
    <w:rsid w:val="006660D7"/>
    <w:rsid w:val="006664D5"/>
    <w:rsid w:val="006668CA"/>
    <w:rsid w:val="0066695C"/>
    <w:rsid w:val="006677B1"/>
    <w:rsid w:val="006679F4"/>
    <w:rsid w:val="006706DC"/>
    <w:rsid w:val="0067274B"/>
    <w:rsid w:val="00673851"/>
    <w:rsid w:val="0067386D"/>
    <w:rsid w:val="00674C13"/>
    <w:rsid w:val="00674C51"/>
    <w:rsid w:val="00674D0D"/>
    <w:rsid w:val="00675291"/>
    <w:rsid w:val="00675356"/>
    <w:rsid w:val="006754F8"/>
    <w:rsid w:val="00675A5A"/>
    <w:rsid w:val="00675C52"/>
    <w:rsid w:val="00676DDE"/>
    <w:rsid w:val="00677639"/>
    <w:rsid w:val="00677D37"/>
    <w:rsid w:val="00680E32"/>
    <w:rsid w:val="00680FD6"/>
    <w:rsid w:val="00681398"/>
    <w:rsid w:val="00681414"/>
    <w:rsid w:val="00682D34"/>
    <w:rsid w:val="00683B0C"/>
    <w:rsid w:val="006843F3"/>
    <w:rsid w:val="0068440C"/>
    <w:rsid w:val="0068458A"/>
    <w:rsid w:val="006845C0"/>
    <w:rsid w:val="006847D7"/>
    <w:rsid w:val="0068527A"/>
    <w:rsid w:val="00685768"/>
    <w:rsid w:val="00685C54"/>
    <w:rsid w:val="00685DC2"/>
    <w:rsid w:val="006862BA"/>
    <w:rsid w:val="0068667E"/>
    <w:rsid w:val="0068761F"/>
    <w:rsid w:val="00691B90"/>
    <w:rsid w:val="006925E4"/>
    <w:rsid w:val="00692741"/>
    <w:rsid w:val="0069292D"/>
    <w:rsid w:val="00692940"/>
    <w:rsid w:val="00693027"/>
    <w:rsid w:val="006936BD"/>
    <w:rsid w:val="00694471"/>
    <w:rsid w:val="00694491"/>
    <w:rsid w:val="00694702"/>
    <w:rsid w:val="006950CA"/>
    <w:rsid w:val="0069544E"/>
    <w:rsid w:val="00695D08"/>
    <w:rsid w:val="00695E04"/>
    <w:rsid w:val="00696750"/>
    <w:rsid w:val="0069682C"/>
    <w:rsid w:val="006972AE"/>
    <w:rsid w:val="00697ACE"/>
    <w:rsid w:val="00697D93"/>
    <w:rsid w:val="006A1A54"/>
    <w:rsid w:val="006A1CAE"/>
    <w:rsid w:val="006A1D1B"/>
    <w:rsid w:val="006A1D63"/>
    <w:rsid w:val="006A22BC"/>
    <w:rsid w:val="006A2B6A"/>
    <w:rsid w:val="006A30F4"/>
    <w:rsid w:val="006A3255"/>
    <w:rsid w:val="006A539D"/>
    <w:rsid w:val="006A5B1F"/>
    <w:rsid w:val="006A6F8A"/>
    <w:rsid w:val="006A7AFA"/>
    <w:rsid w:val="006B081A"/>
    <w:rsid w:val="006B08B4"/>
    <w:rsid w:val="006B0DF3"/>
    <w:rsid w:val="006B1A8A"/>
    <w:rsid w:val="006B1B7A"/>
    <w:rsid w:val="006B23E1"/>
    <w:rsid w:val="006B23F4"/>
    <w:rsid w:val="006B29FA"/>
    <w:rsid w:val="006B2BD9"/>
    <w:rsid w:val="006B35E0"/>
    <w:rsid w:val="006B44FF"/>
    <w:rsid w:val="006B496C"/>
    <w:rsid w:val="006B4E51"/>
    <w:rsid w:val="006B5825"/>
    <w:rsid w:val="006B6EE8"/>
    <w:rsid w:val="006B78F7"/>
    <w:rsid w:val="006B7A11"/>
    <w:rsid w:val="006C1662"/>
    <w:rsid w:val="006C240F"/>
    <w:rsid w:val="006C2AB0"/>
    <w:rsid w:val="006C3A2B"/>
    <w:rsid w:val="006C442A"/>
    <w:rsid w:val="006C503F"/>
    <w:rsid w:val="006C5B10"/>
    <w:rsid w:val="006C5B40"/>
    <w:rsid w:val="006C5C79"/>
    <w:rsid w:val="006C5D89"/>
    <w:rsid w:val="006C61CF"/>
    <w:rsid w:val="006C6B7D"/>
    <w:rsid w:val="006C7836"/>
    <w:rsid w:val="006C7A2B"/>
    <w:rsid w:val="006C7A95"/>
    <w:rsid w:val="006C7C9D"/>
    <w:rsid w:val="006D07B9"/>
    <w:rsid w:val="006D081F"/>
    <w:rsid w:val="006D0B97"/>
    <w:rsid w:val="006D0FA9"/>
    <w:rsid w:val="006D2674"/>
    <w:rsid w:val="006D2AC0"/>
    <w:rsid w:val="006D2B93"/>
    <w:rsid w:val="006D2BA6"/>
    <w:rsid w:val="006D39C1"/>
    <w:rsid w:val="006D39FE"/>
    <w:rsid w:val="006D3DA6"/>
    <w:rsid w:val="006D49DF"/>
    <w:rsid w:val="006D5AD3"/>
    <w:rsid w:val="006D6533"/>
    <w:rsid w:val="006D6ECA"/>
    <w:rsid w:val="006D6ECB"/>
    <w:rsid w:val="006D70B9"/>
    <w:rsid w:val="006D74B9"/>
    <w:rsid w:val="006D7AA6"/>
    <w:rsid w:val="006D7C76"/>
    <w:rsid w:val="006E00F4"/>
    <w:rsid w:val="006E027D"/>
    <w:rsid w:val="006E036E"/>
    <w:rsid w:val="006E07CC"/>
    <w:rsid w:val="006E0D33"/>
    <w:rsid w:val="006E0E02"/>
    <w:rsid w:val="006E0E2A"/>
    <w:rsid w:val="006E1D6F"/>
    <w:rsid w:val="006E2664"/>
    <w:rsid w:val="006E2C3C"/>
    <w:rsid w:val="006E2EC3"/>
    <w:rsid w:val="006E32AA"/>
    <w:rsid w:val="006E3316"/>
    <w:rsid w:val="006E3812"/>
    <w:rsid w:val="006E3D3A"/>
    <w:rsid w:val="006E3F4D"/>
    <w:rsid w:val="006E40C1"/>
    <w:rsid w:val="006E5164"/>
    <w:rsid w:val="006E62D4"/>
    <w:rsid w:val="006E67A9"/>
    <w:rsid w:val="006E6931"/>
    <w:rsid w:val="006E7D63"/>
    <w:rsid w:val="006E7ECE"/>
    <w:rsid w:val="006E7F06"/>
    <w:rsid w:val="006F0843"/>
    <w:rsid w:val="006F105B"/>
    <w:rsid w:val="006F1D5E"/>
    <w:rsid w:val="006F2095"/>
    <w:rsid w:val="006F26EE"/>
    <w:rsid w:val="006F34F2"/>
    <w:rsid w:val="006F35A0"/>
    <w:rsid w:val="006F3CC9"/>
    <w:rsid w:val="006F3E29"/>
    <w:rsid w:val="006F4250"/>
    <w:rsid w:val="006F4442"/>
    <w:rsid w:val="006F447A"/>
    <w:rsid w:val="006F4AB6"/>
    <w:rsid w:val="006F4BDD"/>
    <w:rsid w:val="006F5255"/>
    <w:rsid w:val="006F5781"/>
    <w:rsid w:val="006F5B6A"/>
    <w:rsid w:val="006F5CAB"/>
    <w:rsid w:val="006F5F6C"/>
    <w:rsid w:val="006F6C0E"/>
    <w:rsid w:val="006F6E3A"/>
    <w:rsid w:val="006F7294"/>
    <w:rsid w:val="006F7686"/>
    <w:rsid w:val="006F7D44"/>
    <w:rsid w:val="006F7FA5"/>
    <w:rsid w:val="00700160"/>
    <w:rsid w:val="0070035A"/>
    <w:rsid w:val="0070102B"/>
    <w:rsid w:val="00701237"/>
    <w:rsid w:val="00701F23"/>
    <w:rsid w:val="00702761"/>
    <w:rsid w:val="007032D6"/>
    <w:rsid w:val="00703732"/>
    <w:rsid w:val="0070373A"/>
    <w:rsid w:val="007037E8"/>
    <w:rsid w:val="0070401A"/>
    <w:rsid w:val="00704CD2"/>
    <w:rsid w:val="0070570A"/>
    <w:rsid w:val="007057B4"/>
    <w:rsid w:val="00706104"/>
    <w:rsid w:val="007062E1"/>
    <w:rsid w:val="007064F3"/>
    <w:rsid w:val="00706C20"/>
    <w:rsid w:val="0070750A"/>
    <w:rsid w:val="007077E9"/>
    <w:rsid w:val="0070787E"/>
    <w:rsid w:val="007079BF"/>
    <w:rsid w:val="007079CF"/>
    <w:rsid w:val="00707C51"/>
    <w:rsid w:val="00710402"/>
    <w:rsid w:val="00710BBF"/>
    <w:rsid w:val="00710FEE"/>
    <w:rsid w:val="0071109D"/>
    <w:rsid w:val="00711AB6"/>
    <w:rsid w:val="00711C1D"/>
    <w:rsid w:val="00711DC2"/>
    <w:rsid w:val="00712810"/>
    <w:rsid w:val="00712DC4"/>
    <w:rsid w:val="00712FEB"/>
    <w:rsid w:val="007131AA"/>
    <w:rsid w:val="0071394C"/>
    <w:rsid w:val="00714C69"/>
    <w:rsid w:val="00715D54"/>
    <w:rsid w:val="0071650E"/>
    <w:rsid w:val="00716A30"/>
    <w:rsid w:val="0071757F"/>
    <w:rsid w:val="007175CD"/>
    <w:rsid w:val="00717644"/>
    <w:rsid w:val="007176E1"/>
    <w:rsid w:val="007178D9"/>
    <w:rsid w:val="00717B3B"/>
    <w:rsid w:val="00717FDF"/>
    <w:rsid w:val="00720087"/>
    <w:rsid w:val="00720594"/>
    <w:rsid w:val="00721DEE"/>
    <w:rsid w:val="00722729"/>
    <w:rsid w:val="007227FF"/>
    <w:rsid w:val="0072283A"/>
    <w:rsid w:val="00722926"/>
    <w:rsid w:val="00722E3F"/>
    <w:rsid w:val="0072325F"/>
    <w:rsid w:val="0072356A"/>
    <w:rsid w:val="00723D18"/>
    <w:rsid w:val="00723EAD"/>
    <w:rsid w:val="007240AD"/>
    <w:rsid w:val="007242A1"/>
    <w:rsid w:val="0072449A"/>
    <w:rsid w:val="00724D4B"/>
    <w:rsid w:val="0072550B"/>
    <w:rsid w:val="007256F5"/>
    <w:rsid w:val="0072585C"/>
    <w:rsid w:val="00726320"/>
    <w:rsid w:val="007264E8"/>
    <w:rsid w:val="00726CC2"/>
    <w:rsid w:val="00727029"/>
    <w:rsid w:val="00727A01"/>
    <w:rsid w:val="00727CE6"/>
    <w:rsid w:val="00727DA2"/>
    <w:rsid w:val="00730174"/>
    <w:rsid w:val="0073040C"/>
    <w:rsid w:val="00730F94"/>
    <w:rsid w:val="007311CA"/>
    <w:rsid w:val="007318A3"/>
    <w:rsid w:val="00732392"/>
    <w:rsid w:val="0073249C"/>
    <w:rsid w:val="007327A9"/>
    <w:rsid w:val="00732C92"/>
    <w:rsid w:val="00732CC1"/>
    <w:rsid w:val="007343D3"/>
    <w:rsid w:val="00734C3C"/>
    <w:rsid w:val="00734C9E"/>
    <w:rsid w:val="007350BD"/>
    <w:rsid w:val="007352F6"/>
    <w:rsid w:val="00735311"/>
    <w:rsid w:val="00735354"/>
    <w:rsid w:val="00735356"/>
    <w:rsid w:val="00735503"/>
    <w:rsid w:val="00735C20"/>
    <w:rsid w:val="00736BF5"/>
    <w:rsid w:val="00736E52"/>
    <w:rsid w:val="007375DB"/>
    <w:rsid w:val="0073781D"/>
    <w:rsid w:val="007379E2"/>
    <w:rsid w:val="00740BDB"/>
    <w:rsid w:val="00740EEA"/>
    <w:rsid w:val="0074103B"/>
    <w:rsid w:val="0074128C"/>
    <w:rsid w:val="00741D57"/>
    <w:rsid w:val="0074254C"/>
    <w:rsid w:val="00742C64"/>
    <w:rsid w:val="00742EC0"/>
    <w:rsid w:val="00745280"/>
    <w:rsid w:val="00745A25"/>
    <w:rsid w:val="00746F21"/>
    <w:rsid w:val="00747124"/>
    <w:rsid w:val="007473A0"/>
    <w:rsid w:val="007473A8"/>
    <w:rsid w:val="00747495"/>
    <w:rsid w:val="00747DD6"/>
    <w:rsid w:val="00750E57"/>
    <w:rsid w:val="0075107B"/>
    <w:rsid w:val="00751910"/>
    <w:rsid w:val="00751BF2"/>
    <w:rsid w:val="0075273F"/>
    <w:rsid w:val="00752767"/>
    <w:rsid w:val="0075436F"/>
    <w:rsid w:val="00754424"/>
    <w:rsid w:val="00754897"/>
    <w:rsid w:val="00754969"/>
    <w:rsid w:val="00754A77"/>
    <w:rsid w:val="00755222"/>
    <w:rsid w:val="00755291"/>
    <w:rsid w:val="00755906"/>
    <w:rsid w:val="00756029"/>
    <w:rsid w:val="007573C1"/>
    <w:rsid w:val="007574AA"/>
    <w:rsid w:val="007601BD"/>
    <w:rsid w:val="007606D2"/>
    <w:rsid w:val="007610FA"/>
    <w:rsid w:val="007617A6"/>
    <w:rsid w:val="0076183C"/>
    <w:rsid w:val="00761E7B"/>
    <w:rsid w:val="00762369"/>
    <w:rsid w:val="007625AF"/>
    <w:rsid w:val="007629B5"/>
    <w:rsid w:val="00762CB8"/>
    <w:rsid w:val="00763EC6"/>
    <w:rsid w:val="007648AA"/>
    <w:rsid w:val="007654E8"/>
    <w:rsid w:val="007656F9"/>
    <w:rsid w:val="00765A78"/>
    <w:rsid w:val="00765E71"/>
    <w:rsid w:val="00766C2C"/>
    <w:rsid w:val="00766C6D"/>
    <w:rsid w:val="007672A5"/>
    <w:rsid w:val="00767514"/>
    <w:rsid w:val="0076798A"/>
    <w:rsid w:val="00767DC5"/>
    <w:rsid w:val="0077005D"/>
    <w:rsid w:val="00770DB8"/>
    <w:rsid w:val="00770EFE"/>
    <w:rsid w:val="007713C5"/>
    <w:rsid w:val="00772540"/>
    <w:rsid w:val="00772CF1"/>
    <w:rsid w:val="00774074"/>
    <w:rsid w:val="00774361"/>
    <w:rsid w:val="0077436A"/>
    <w:rsid w:val="007745DA"/>
    <w:rsid w:val="00775090"/>
    <w:rsid w:val="00775D7C"/>
    <w:rsid w:val="007765B0"/>
    <w:rsid w:val="00776944"/>
    <w:rsid w:val="00776D01"/>
    <w:rsid w:val="00777541"/>
    <w:rsid w:val="007776C1"/>
    <w:rsid w:val="00777D14"/>
    <w:rsid w:val="007803DC"/>
    <w:rsid w:val="0078046B"/>
    <w:rsid w:val="007807BE"/>
    <w:rsid w:val="0078086D"/>
    <w:rsid w:val="00780DBA"/>
    <w:rsid w:val="00780F5D"/>
    <w:rsid w:val="00780FB6"/>
    <w:rsid w:val="00781369"/>
    <w:rsid w:val="00781F66"/>
    <w:rsid w:val="0078233E"/>
    <w:rsid w:val="00782582"/>
    <w:rsid w:val="00782AC2"/>
    <w:rsid w:val="00782D81"/>
    <w:rsid w:val="00783210"/>
    <w:rsid w:val="0078329D"/>
    <w:rsid w:val="007832DC"/>
    <w:rsid w:val="00783EF8"/>
    <w:rsid w:val="0078409C"/>
    <w:rsid w:val="007845E9"/>
    <w:rsid w:val="00784ACD"/>
    <w:rsid w:val="00785690"/>
    <w:rsid w:val="007858D8"/>
    <w:rsid w:val="00785989"/>
    <w:rsid w:val="0078657B"/>
    <w:rsid w:val="00787357"/>
    <w:rsid w:val="007875E7"/>
    <w:rsid w:val="0078767E"/>
    <w:rsid w:val="00787739"/>
    <w:rsid w:val="0078791A"/>
    <w:rsid w:val="00787BD4"/>
    <w:rsid w:val="0079000D"/>
    <w:rsid w:val="00790304"/>
    <w:rsid w:val="0079188B"/>
    <w:rsid w:val="00791B06"/>
    <w:rsid w:val="00792614"/>
    <w:rsid w:val="00792671"/>
    <w:rsid w:val="0079450A"/>
    <w:rsid w:val="00794E9B"/>
    <w:rsid w:val="00795348"/>
    <w:rsid w:val="00795CEE"/>
    <w:rsid w:val="00795E7F"/>
    <w:rsid w:val="007964CD"/>
    <w:rsid w:val="007970AD"/>
    <w:rsid w:val="00797158"/>
    <w:rsid w:val="007A027E"/>
    <w:rsid w:val="007A0603"/>
    <w:rsid w:val="007A06A3"/>
    <w:rsid w:val="007A0D3A"/>
    <w:rsid w:val="007A1CA1"/>
    <w:rsid w:val="007A22D4"/>
    <w:rsid w:val="007A3853"/>
    <w:rsid w:val="007A4260"/>
    <w:rsid w:val="007A457E"/>
    <w:rsid w:val="007A48D9"/>
    <w:rsid w:val="007A538D"/>
    <w:rsid w:val="007A5E70"/>
    <w:rsid w:val="007A5EBB"/>
    <w:rsid w:val="007A652E"/>
    <w:rsid w:val="007A73B8"/>
    <w:rsid w:val="007B020B"/>
    <w:rsid w:val="007B1C3A"/>
    <w:rsid w:val="007B2361"/>
    <w:rsid w:val="007B2D0F"/>
    <w:rsid w:val="007B3933"/>
    <w:rsid w:val="007B3E58"/>
    <w:rsid w:val="007B4E3C"/>
    <w:rsid w:val="007B4F05"/>
    <w:rsid w:val="007B5577"/>
    <w:rsid w:val="007B61B9"/>
    <w:rsid w:val="007B71B2"/>
    <w:rsid w:val="007B73A5"/>
    <w:rsid w:val="007B7941"/>
    <w:rsid w:val="007B7F36"/>
    <w:rsid w:val="007C00BC"/>
    <w:rsid w:val="007C0A15"/>
    <w:rsid w:val="007C0C8B"/>
    <w:rsid w:val="007C12C6"/>
    <w:rsid w:val="007C1CF9"/>
    <w:rsid w:val="007C3122"/>
    <w:rsid w:val="007C3202"/>
    <w:rsid w:val="007C4123"/>
    <w:rsid w:val="007C4B9D"/>
    <w:rsid w:val="007C4CEB"/>
    <w:rsid w:val="007C5739"/>
    <w:rsid w:val="007C6DA7"/>
    <w:rsid w:val="007C730A"/>
    <w:rsid w:val="007D020B"/>
    <w:rsid w:val="007D0905"/>
    <w:rsid w:val="007D09FF"/>
    <w:rsid w:val="007D0D39"/>
    <w:rsid w:val="007D10FD"/>
    <w:rsid w:val="007D143A"/>
    <w:rsid w:val="007D2360"/>
    <w:rsid w:val="007D2A13"/>
    <w:rsid w:val="007D2AAF"/>
    <w:rsid w:val="007D30BA"/>
    <w:rsid w:val="007D35E2"/>
    <w:rsid w:val="007D3C3F"/>
    <w:rsid w:val="007D41C9"/>
    <w:rsid w:val="007D4365"/>
    <w:rsid w:val="007D4A6F"/>
    <w:rsid w:val="007D5509"/>
    <w:rsid w:val="007D5B32"/>
    <w:rsid w:val="007D6807"/>
    <w:rsid w:val="007D78E8"/>
    <w:rsid w:val="007D7E32"/>
    <w:rsid w:val="007E0E5E"/>
    <w:rsid w:val="007E22C0"/>
    <w:rsid w:val="007E2DCD"/>
    <w:rsid w:val="007E363E"/>
    <w:rsid w:val="007E3B65"/>
    <w:rsid w:val="007E3D2F"/>
    <w:rsid w:val="007E3FA1"/>
    <w:rsid w:val="007E44B0"/>
    <w:rsid w:val="007E4732"/>
    <w:rsid w:val="007E51BF"/>
    <w:rsid w:val="007E62C7"/>
    <w:rsid w:val="007E6642"/>
    <w:rsid w:val="007E6704"/>
    <w:rsid w:val="007E6878"/>
    <w:rsid w:val="007E7006"/>
    <w:rsid w:val="007E7052"/>
    <w:rsid w:val="007E7564"/>
    <w:rsid w:val="007E786F"/>
    <w:rsid w:val="007F09AD"/>
    <w:rsid w:val="007F15AC"/>
    <w:rsid w:val="007F17CE"/>
    <w:rsid w:val="007F321D"/>
    <w:rsid w:val="007F3584"/>
    <w:rsid w:val="007F4191"/>
    <w:rsid w:val="007F41D4"/>
    <w:rsid w:val="007F42E1"/>
    <w:rsid w:val="007F50CC"/>
    <w:rsid w:val="007F5122"/>
    <w:rsid w:val="007F5C4F"/>
    <w:rsid w:val="007F6543"/>
    <w:rsid w:val="007F6B82"/>
    <w:rsid w:val="007F6BA8"/>
    <w:rsid w:val="007F7200"/>
    <w:rsid w:val="007F72A5"/>
    <w:rsid w:val="0080032C"/>
    <w:rsid w:val="00800518"/>
    <w:rsid w:val="00801862"/>
    <w:rsid w:val="008025FF"/>
    <w:rsid w:val="00802F75"/>
    <w:rsid w:val="00803A1F"/>
    <w:rsid w:val="00803BAC"/>
    <w:rsid w:val="00803BD7"/>
    <w:rsid w:val="00803FE0"/>
    <w:rsid w:val="00804FF6"/>
    <w:rsid w:val="00805044"/>
    <w:rsid w:val="00805A6A"/>
    <w:rsid w:val="00805CAE"/>
    <w:rsid w:val="008065FD"/>
    <w:rsid w:val="0080682C"/>
    <w:rsid w:val="0080739C"/>
    <w:rsid w:val="00807ED7"/>
    <w:rsid w:val="0081048D"/>
    <w:rsid w:val="00810D98"/>
    <w:rsid w:val="00811884"/>
    <w:rsid w:val="00811AEC"/>
    <w:rsid w:val="00812912"/>
    <w:rsid w:val="00812D5B"/>
    <w:rsid w:val="0081361F"/>
    <w:rsid w:val="00813D45"/>
    <w:rsid w:val="00813E0A"/>
    <w:rsid w:val="008142EF"/>
    <w:rsid w:val="0081461F"/>
    <w:rsid w:val="00814B3D"/>
    <w:rsid w:val="00814E41"/>
    <w:rsid w:val="0081528D"/>
    <w:rsid w:val="008154FA"/>
    <w:rsid w:val="00815A32"/>
    <w:rsid w:val="00815EF6"/>
    <w:rsid w:val="00816266"/>
    <w:rsid w:val="00816E1B"/>
    <w:rsid w:val="00817037"/>
    <w:rsid w:val="00817520"/>
    <w:rsid w:val="008179C6"/>
    <w:rsid w:val="00817FB7"/>
    <w:rsid w:val="00820460"/>
    <w:rsid w:val="00820C78"/>
    <w:rsid w:val="00820DA2"/>
    <w:rsid w:val="00821A4D"/>
    <w:rsid w:val="008220DA"/>
    <w:rsid w:val="008221A8"/>
    <w:rsid w:val="00822229"/>
    <w:rsid w:val="008224BB"/>
    <w:rsid w:val="00822A49"/>
    <w:rsid w:val="008231D1"/>
    <w:rsid w:val="00823438"/>
    <w:rsid w:val="00823D0F"/>
    <w:rsid w:val="00824459"/>
    <w:rsid w:val="008249AA"/>
    <w:rsid w:val="00824A35"/>
    <w:rsid w:val="00824DED"/>
    <w:rsid w:val="00825533"/>
    <w:rsid w:val="00825759"/>
    <w:rsid w:val="00826027"/>
    <w:rsid w:val="00826EF4"/>
    <w:rsid w:val="0082746E"/>
    <w:rsid w:val="00827E26"/>
    <w:rsid w:val="00827F24"/>
    <w:rsid w:val="008301DF"/>
    <w:rsid w:val="00830865"/>
    <w:rsid w:val="00830B70"/>
    <w:rsid w:val="00830CEE"/>
    <w:rsid w:val="00831121"/>
    <w:rsid w:val="008312D2"/>
    <w:rsid w:val="008314FB"/>
    <w:rsid w:val="00831605"/>
    <w:rsid w:val="008325E0"/>
    <w:rsid w:val="00833528"/>
    <w:rsid w:val="008335FA"/>
    <w:rsid w:val="008339A5"/>
    <w:rsid w:val="008341C8"/>
    <w:rsid w:val="0083466F"/>
    <w:rsid w:val="00835D25"/>
    <w:rsid w:val="0083629B"/>
    <w:rsid w:val="0083629F"/>
    <w:rsid w:val="0083635C"/>
    <w:rsid w:val="008371D0"/>
    <w:rsid w:val="008377C9"/>
    <w:rsid w:val="00840804"/>
    <w:rsid w:val="00840AB8"/>
    <w:rsid w:val="0084158D"/>
    <w:rsid w:val="00841BE1"/>
    <w:rsid w:val="00841C43"/>
    <w:rsid w:val="00842E63"/>
    <w:rsid w:val="0084355E"/>
    <w:rsid w:val="00843654"/>
    <w:rsid w:val="00843F5A"/>
    <w:rsid w:val="00844564"/>
    <w:rsid w:val="00844820"/>
    <w:rsid w:val="00844A4C"/>
    <w:rsid w:val="00844E98"/>
    <w:rsid w:val="008452F8"/>
    <w:rsid w:val="0084634C"/>
    <w:rsid w:val="008463E9"/>
    <w:rsid w:val="008468C4"/>
    <w:rsid w:val="00846B2C"/>
    <w:rsid w:val="00847199"/>
    <w:rsid w:val="00847E9D"/>
    <w:rsid w:val="00850BBC"/>
    <w:rsid w:val="00850F32"/>
    <w:rsid w:val="0085169B"/>
    <w:rsid w:val="0085171F"/>
    <w:rsid w:val="00852B6A"/>
    <w:rsid w:val="00853420"/>
    <w:rsid w:val="008537E7"/>
    <w:rsid w:val="008550CF"/>
    <w:rsid w:val="00855C83"/>
    <w:rsid w:val="0085663D"/>
    <w:rsid w:val="0085732B"/>
    <w:rsid w:val="00857852"/>
    <w:rsid w:val="00860CB4"/>
    <w:rsid w:val="00860FFB"/>
    <w:rsid w:val="0086243F"/>
    <w:rsid w:val="00863209"/>
    <w:rsid w:val="0086359A"/>
    <w:rsid w:val="00863DBC"/>
    <w:rsid w:val="008641AB"/>
    <w:rsid w:val="008641CC"/>
    <w:rsid w:val="00865280"/>
    <w:rsid w:val="008653CF"/>
    <w:rsid w:val="0086555A"/>
    <w:rsid w:val="00866124"/>
    <w:rsid w:val="00866560"/>
    <w:rsid w:val="00866821"/>
    <w:rsid w:val="00867155"/>
    <w:rsid w:val="00867BA8"/>
    <w:rsid w:val="008709BC"/>
    <w:rsid w:val="00870C55"/>
    <w:rsid w:val="0087153C"/>
    <w:rsid w:val="008719DD"/>
    <w:rsid w:val="00871A19"/>
    <w:rsid w:val="0087220F"/>
    <w:rsid w:val="008740A7"/>
    <w:rsid w:val="00874483"/>
    <w:rsid w:val="008749E3"/>
    <w:rsid w:val="008755F3"/>
    <w:rsid w:val="00875755"/>
    <w:rsid w:val="00876C87"/>
    <w:rsid w:val="0087720E"/>
    <w:rsid w:val="00877773"/>
    <w:rsid w:val="00877FEF"/>
    <w:rsid w:val="00880009"/>
    <w:rsid w:val="00880343"/>
    <w:rsid w:val="008805E6"/>
    <w:rsid w:val="008807F9"/>
    <w:rsid w:val="00881234"/>
    <w:rsid w:val="00881273"/>
    <w:rsid w:val="0088173C"/>
    <w:rsid w:val="00881C82"/>
    <w:rsid w:val="00882052"/>
    <w:rsid w:val="00883037"/>
    <w:rsid w:val="008831FA"/>
    <w:rsid w:val="00883234"/>
    <w:rsid w:val="0088355D"/>
    <w:rsid w:val="008846E5"/>
    <w:rsid w:val="00884D4F"/>
    <w:rsid w:val="0088507A"/>
    <w:rsid w:val="00886776"/>
    <w:rsid w:val="00886AB9"/>
    <w:rsid w:val="00886C19"/>
    <w:rsid w:val="00887BFB"/>
    <w:rsid w:val="0089018D"/>
    <w:rsid w:val="008901C2"/>
    <w:rsid w:val="0089067E"/>
    <w:rsid w:val="00890E68"/>
    <w:rsid w:val="0089123B"/>
    <w:rsid w:val="008916E4"/>
    <w:rsid w:val="008918F5"/>
    <w:rsid w:val="008919EF"/>
    <w:rsid w:val="00891B1A"/>
    <w:rsid w:val="00891F74"/>
    <w:rsid w:val="00892862"/>
    <w:rsid w:val="00892F7E"/>
    <w:rsid w:val="00893635"/>
    <w:rsid w:val="00893700"/>
    <w:rsid w:val="00894346"/>
    <w:rsid w:val="0089568F"/>
    <w:rsid w:val="00895D1D"/>
    <w:rsid w:val="00895FDD"/>
    <w:rsid w:val="00896A71"/>
    <w:rsid w:val="00896ACC"/>
    <w:rsid w:val="008A12B7"/>
    <w:rsid w:val="008A1549"/>
    <w:rsid w:val="008A2AE4"/>
    <w:rsid w:val="008A2AF8"/>
    <w:rsid w:val="008A2B0F"/>
    <w:rsid w:val="008A2F1F"/>
    <w:rsid w:val="008A3062"/>
    <w:rsid w:val="008A32C6"/>
    <w:rsid w:val="008A5566"/>
    <w:rsid w:val="008A5C42"/>
    <w:rsid w:val="008A6617"/>
    <w:rsid w:val="008A7164"/>
    <w:rsid w:val="008A788B"/>
    <w:rsid w:val="008A7919"/>
    <w:rsid w:val="008A7A2B"/>
    <w:rsid w:val="008A7A79"/>
    <w:rsid w:val="008A7B55"/>
    <w:rsid w:val="008B03F6"/>
    <w:rsid w:val="008B1642"/>
    <w:rsid w:val="008B2106"/>
    <w:rsid w:val="008B2CAE"/>
    <w:rsid w:val="008B3763"/>
    <w:rsid w:val="008B3908"/>
    <w:rsid w:val="008B3C83"/>
    <w:rsid w:val="008B44AF"/>
    <w:rsid w:val="008B4A3B"/>
    <w:rsid w:val="008B4BA9"/>
    <w:rsid w:val="008B509A"/>
    <w:rsid w:val="008B5C75"/>
    <w:rsid w:val="008B60DD"/>
    <w:rsid w:val="008B6CD8"/>
    <w:rsid w:val="008B70E9"/>
    <w:rsid w:val="008C0C05"/>
    <w:rsid w:val="008C0E5D"/>
    <w:rsid w:val="008C1E4E"/>
    <w:rsid w:val="008C2459"/>
    <w:rsid w:val="008C36A6"/>
    <w:rsid w:val="008C3CB4"/>
    <w:rsid w:val="008C3D58"/>
    <w:rsid w:val="008C3F03"/>
    <w:rsid w:val="008C60B3"/>
    <w:rsid w:val="008C62A4"/>
    <w:rsid w:val="008C64B2"/>
    <w:rsid w:val="008C6668"/>
    <w:rsid w:val="008C6669"/>
    <w:rsid w:val="008C6AF6"/>
    <w:rsid w:val="008C6C40"/>
    <w:rsid w:val="008C7826"/>
    <w:rsid w:val="008D05A8"/>
    <w:rsid w:val="008D0762"/>
    <w:rsid w:val="008D1435"/>
    <w:rsid w:val="008D2301"/>
    <w:rsid w:val="008D387F"/>
    <w:rsid w:val="008D48EC"/>
    <w:rsid w:val="008D4CB6"/>
    <w:rsid w:val="008D51EA"/>
    <w:rsid w:val="008D5F2E"/>
    <w:rsid w:val="008D6B5E"/>
    <w:rsid w:val="008D6C19"/>
    <w:rsid w:val="008D70E2"/>
    <w:rsid w:val="008E0548"/>
    <w:rsid w:val="008E0E30"/>
    <w:rsid w:val="008E0F69"/>
    <w:rsid w:val="008E0F70"/>
    <w:rsid w:val="008E1215"/>
    <w:rsid w:val="008E1291"/>
    <w:rsid w:val="008E1A3B"/>
    <w:rsid w:val="008E1DC1"/>
    <w:rsid w:val="008E1EE3"/>
    <w:rsid w:val="008E21D0"/>
    <w:rsid w:val="008E2266"/>
    <w:rsid w:val="008E2521"/>
    <w:rsid w:val="008E275E"/>
    <w:rsid w:val="008E27E6"/>
    <w:rsid w:val="008E30E1"/>
    <w:rsid w:val="008E3B6B"/>
    <w:rsid w:val="008E3D56"/>
    <w:rsid w:val="008E481A"/>
    <w:rsid w:val="008E4BB0"/>
    <w:rsid w:val="008E4FFD"/>
    <w:rsid w:val="008E564A"/>
    <w:rsid w:val="008E5845"/>
    <w:rsid w:val="008E5901"/>
    <w:rsid w:val="008E69AD"/>
    <w:rsid w:val="008E6DCC"/>
    <w:rsid w:val="008E7E89"/>
    <w:rsid w:val="008F04BF"/>
    <w:rsid w:val="008F0561"/>
    <w:rsid w:val="008F05F1"/>
    <w:rsid w:val="008F0646"/>
    <w:rsid w:val="008F0B65"/>
    <w:rsid w:val="008F10D0"/>
    <w:rsid w:val="008F2212"/>
    <w:rsid w:val="008F2D36"/>
    <w:rsid w:val="008F3E22"/>
    <w:rsid w:val="008F40F5"/>
    <w:rsid w:val="008F431E"/>
    <w:rsid w:val="008F45B8"/>
    <w:rsid w:val="008F4F87"/>
    <w:rsid w:val="008F55AD"/>
    <w:rsid w:val="008F5975"/>
    <w:rsid w:val="008F5B10"/>
    <w:rsid w:val="008F7B9E"/>
    <w:rsid w:val="009005DB"/>
    <w:rsid w:val="009006FE"/>
    <w:rsid w:val="0090096F"/>
    <w:rsid w:val="00900BB9"/>
    <w:rsid w:val="0090182C"/>
    <w:rsid w:val="0090215A"/>
    <w:rsid w:val="00902500"/>
    <w:rsid w:val="009028E4"/>
    <w:rsid w:val="00902A36"/>
    <w:rsid w:val="00902D1F"/>
    <w:rsid w:val="00903219"/>
    <w:rsid w:val="00903862"/>
    <w:rsid w:val="00903A23"/>
    <w:rsid w:val="00903C8A"/>
    <w:rsid w:val="0090476A"/>
    <w:rsid w:val="00907610"/>
    <w:rsid w:val="009076A0"/>
    <w:rsid w:val="009111D3"/>
    <w:rsid w:val="0091146F"/>
    <w:rsid w:val="00911E1E"/>
    <w:rsid w:val="009127DB"/>
    <w:rsid w:val="00913178"/>
    <w:rsid w:val="00913372"/>
    <w:rsid w:val="00916245"/>
    <w:rsid w:val="00916993"/>
    <w:rsid w:val="009169ED"/>
    <w:rsid w:val="00916B89"/>
    <w:rsid w:val="009175BA"/>
    <w:rsid w:val="009175C4"/>
    <w:rsid w:val="009176D6"/>
    <w:rsid w:val="00920A8B"/>
    <w:rsid w:val="00920EEA"/>
    <w:rsid w:val="00920FCF"/>
    <w:rsid w:val="009210D4"/>
    <w:rsid w:val="00921421"/>
    <w:rsid w:val="0092155C"/>
    <w:rsid w:val="00921830"/>
    <w:rsid w:val="00921C22"/>
    <w:rsid w:val="00921D83"/>
    <w:rsid w:val="00921E2F"/>
    <w:rsid w:val="00922B1B"/>
    <w:rsid w:val="009230CF"/>
    <w:rsid w:val="00923600"/>
    <w:rsid w:val="00923AB5"/>
    <w:rsid w:val="009240EA"/>
    <w:rsid w:val="009260F4"/>
    <w:rsid w:val="009261B9"/>
    <w:rsid w:val="00926237"/>
    <w:rsid w:val="009269BB"/>
    <w:rsid w:val="00926AD5"/>
    <w:rsid w:val="00926DAE"/>
    <w:rsid w:val="00926E73"/>
    <w:rsid w:val="00927458"/>
    <w:rsid w:val="00927745"/>
    <w:rsid w:val="009305C9"/>
    <w:rsid w:val="00930D01"/>
    <w:rsid w:val="009318D8"/>
    <w:rsid w:val="009319D3"/>
    <w:rsid w:val="00932A57"/>
    <w:rsid w:val="0093374F"/>
    <w:rsid w:val="00933AB8"/>
    <w:rsid w:val="00933D2D"/>
    <w:rsid w:val="0093490C"/>
    <w:rsid w:val="009353A6"/>
    <w:rsid w:val="00935571"/>
    <w:rsid w:val="00936857"/>
    <w:rsid w:val="00936956"/>
    <w:rsid w:val="00936E37"/>
    <w:rsid w:val="00936EA7"/>
    <w:rsid w:val="0093754B"/>
    <w:rsid w:val="00937756"/>
    <w:rsid w:val="00937D3D"/>
    <w:rsid w:val="009410A6"/>
    <w:rsid w:val="0094167A"/>
    <w:rsid w:val="009424B5"/>
    <w:rsid w:val="009425E0"/>
    <w:rsid w:val="009426FB"/>
    <w:rsid w:val="00943846"/>
    <w:rsid w:val="00944709"/>
    <w:rsid w:val="009448E8"/>
    <w:rsid w:val="0094592B"/>
    <w:rsid w:val="0094664B"/>
    <w:rsid w:val="00946837"/>
    <w:rsid w:val="009470AC"/>
    <w:rsid w:val="00947AAC"/>
    <w:rsid w:val="00947B79"/>
    <w:rsid w:val="00947E2D"/>
    <w:rsid w:val="009501B6"/>
    <w:rsid w:val="009503F2"/>
    <w:rsid w:val="009521F2"/>
    <w:rsid w:val="009527B4"/>
    <w:rsid w:val="00952E44"/>
    <w:rsid w:val="00952F11"/>
    <w:rsid w:val="009530C5"/>
    <w:rsid w:val="00954E83"/>
    <w:rsid w:val="00954F35"/>
    <w:rsid w:val="00955004"/>
    <w:rsid w:val="00955B94"/>
    <w:rsid w:val="00955C53"/>
    <w:rsid w:val="00955E0F"/>
    <w:rsid w:val="00957705"/>
    <w:rsid w:val="00957784"/>
    <w:rsid w:val="00957EDD"/>
    <w:rsid w:val="009606B8"/>
    <w:rsid w:val="00960808"/>
    <w:rsid w:val="009608A4"/>
    <w:rsid w:val="00960F41"/>
    <w:rsid w:val="009610D2"/>
    <w:rsid w:val="00961A02"/>
    <w:rsid w:val="00961CD2"/>
    <w:rsid w:val="00962316"/>
    <w:rsid w:val="00963988"/>
    <w:rsid w:val="00963AE7"/>
    <w:rsid w:val="00963E86"/>
    <w:rsid w:val="00964407"/>
    <w:rsid w:val="00964429"/>
    <w:rsid w:val="00964758"/>
    <w:rsid w:val="00965421"/>
    <w:rsid w:val="00965A8D"/>
    <w:rsid w:val="00965EB5"/>
    <w:rsid w:val="009667E6"/>
    <w:rsid w:val="0096684C"/>
    <w:rsid w:val="00966D0E"/>
    <w:rsid w:val="00967FCF"/>
    <w:rsid w:val="009701E5"/>
    <w:rsid w:val="0097026E"/>
    <w:rsid w:val="009702F3"/>
    <w:rsid w:val="009702FC"/>
    <w:rsid w:val="009708EF"/>
    <w:rsid w:val="009716B0"/>
    <w:rsid w:val="00971B28"/>
    <w:rsid w:val="00972A53"/>
    <w:rsid w:val="00972E66"/>
    <w:rsid w:val="00972F48"/>
    <w:rsid w:val="0097340E"/>
    <w:rsid w:val="00973621"/>
    <w:rsid w:val="009738E2"/>
    <w:rsid w:val="00974678"/>
    <w:rsid w:val="00974BDE"/>
    <w:rsid w:val="00974C1F"/>
    <w:rsid w:val="00974DD3"/>
    <w:rsid w:val="0097502E"/>
    <w:rsid w:val="0097533B"/>
    <w:rsid w:val="00975DE8"/>
    <w:rsid w:val="009765D1"/>
    <w:rsid w:val="00976D96"/>
    <w:rsid w:val="0097755A"/>
    <w:rsid w:val="00977932"/>
    <w:rsid w:val="00977BFF"/>
    <w:rsid w:val="00977CCA"/>
    <w:rsid w:val="00980946"/>
    <w:rsid w:val="00980B19"/>
    <w:rsid w:val="009812EF"/>
    <w:rsid w:val="009816FE"/>
    <w:rsid w:val="00981D25"/>
    <w:rsid w:val="00982133"/>
    <w:rsid w:val="009834AB"/>
    <w:rsid w:val="0098390F"/>
    <w:rsid w:val="00983F3D"/>
    <w:rsid w:val="00984020"/>
    <w:rsid w:val="00984237"/>
    <w:rsid w:val="009845ED"/>
    <w:rsid w:val="00984893"/>
    <w:rsid w:val="00984D51"/>
    <w:rsid w:val="00985826"/>
    <w:rsid w:val="00986360"/>
    <w:rsid w:val="009866D8"/>
    <w:rsid w:val="00986887"/>
    <w:rsid w:val="009871C5"/>
    <w:rsid w:val="00990135"/>
    <w:rsid w:val="00990C52"/>
    <w:rsid w:val="00990C95"/>
    <w:rsid w:val="009914D8"/>
    <w:rsid w:val="00991D7D"/>
    <w:rsid w:val="00992466"/>
    <w:rsid w:val="00992C7B"/>
    <w:rsid w:val="009930E7"/>
    <w:rsid w:val="009931F2"/>
    <w:rsid w:val="00993384"/>
    <w:rsid w:val="009944F3"/>
    <w:rsid w:val="00994615"/>
    <w:rsid w:val="0099471F"/>
    <w:rsid w:val="00994E6C"/>
    <w:rsid w:val="00996668"/>
    <w:rsid w:val="00996728"/>
    <w:rsid w:val="00996964"/>
    <w:rsid w:val="009969BE"/>
    <w:rsid w:val="00996F49"/>
    <w:rsid w:val="00997D0F"/>
    <w:rsid w:val="009A178C"/>
    <w:rsid w:val="009A1935"/>
    <w:rsid w:val="009A202D"/>
    <w:rsid w:val="009A21B9"/>
    <w:rsid w:val="009A34AE"/>
    <w:rsid w:val="009A5DD2"/>
    <w:rsid w:val="009A617F"/>
    <w:rsid w:val="009A75AA"/>
    <w:rsid w:val="009A779A"/>
    <w:rsid w:val="009B09EB"/>
    <w:rsid w:val="009B0C2B"/>
    <w:rsid w:val="009B18E7"/>
    <w:rsid w:val="009B217D"/>
    <w:rsid w:val="009B21E2"/>
    <w:rsid w:val="009B222B"/>
    <w:rsid w:val="009B28C6"/>
    <w:rsid w:val="009B2A8A"/>
    <w:rsid w:val="009B2BF2"/>
    <w:rsid w:val="009B2EA2"/>
    <w:rsid w:val="009B363B"/>
    <w:rsid w:val="009B44F8"/>
    <w:rsid w:val="009B4988"/>
    <w:rsid w:val="009B4F74"/>
    <w:rsid w:val="009B555D"/>
    <w:rsid w:val="009B67F4"/>
    <w:rsid w:val="009B6E68"/>
    <w:rsid w:val="009B736F"/>
    <w:rsid w:val="009B7586"/>
    <w:rsid w:val="009B7D0A"/>
    <w:rsid w:val="009C026A"/>
    <w:rsid w:val="009C0626"/>
    <w:rsid w:val="009C1924"/>
    <w:rsid w:val="009C2531"/>
    <w:rsid w:val="009C2825"/>
    <w:rsid w:val="009C28A7"/>
    <w:rsid w:val="009C2C7F"/>
    <w:rsid w:val="009C2DEC"/>
    <w:rsid w:val="009C3761"/>
    <w:rsid w:val="009C3B5E"/>
    <w:rsid w:val="009C3DA4"/>
    <w:rsid w:val="009C3E79"/>
    <w:rsid w:val="009C3EF0"/>
    <w:rsid w:val="009C42D7"/>
    <w:rsid w:val="009C5353"/>
    <w:rsid w:val="009C53DA"/>
    <w:rsid w:val="009C59E6"/>
    <w:rsid w:val="009C5DC4"/>
    <w:rsid w:val="009C74D2"/>
    <w:rsid w:val="009C75AE"/>
    <w:rsid w:val="009C7F95"/>
    <w:rsid w:val="009D105F"/>
    <w:rsid w:val="009D14B9"/>
    <w:rsid w:val="009D283E"/>
    <w:rsid w:val="009D2BFA"/>
    <w:rsid w:val="009D2D63"/>
    <w:rsid w:val="009D31A3"/>
    <w:rsid w:val="009D31EF"/>
    <w:rsid w:val="009D3384"/>
    <w:rsid w:val="009D3AFB"/>
    <w:rsid w:val="009D4184"/>
    <w:rsid w:val="009D4D41"/>
    <w:rsid w:val="009D4F7B"/>
    <w:rsid w:val="009D5044"/>
    <w:rsid w:val="009D587E"/>
    <w:rsid w:val="009D594F"/>
    <w:rsid w:val="009D5998"/>
    <w:rsid w:val="009D5C60"/>
    <w:rsid w:val="009D5EEB"/>
    <w:rsid w:val="009D6396"/>
    <w:rsid w:val="009D63A6"/>
    <w:rsid w:val="009D68A7"/>
    <w:rsid w:val="009D718F"/>
    <w:rsid w:val="009D7773"/>
    <w:rsid w:val="009E0BB1"/>
    <w:rsid w:val="009E1532"/>
    <w:rsid w:val="009E1FE0"/>
    <w:rsid w:val="009E2010"/>
    <w:rsid w:val="009E2676"/>
    <w:rsid w:val="009E3E2A"/>
    <w:rsid w:val="009E51F0"/>
    <w:rsid w:val="009E55CB"/>
    <w:rsid w:val="009E58B5"/>
    <w:rsid w:val="009E592A"/>
    <w:rsid w:val="009E5A93"/>
    <w:rsid w:val="009E62BD"/>
    <w:rsid w:val="009E6EBA"/>
    <w:rsid w:val="009E7612"/>
    <w:rsid w:val="009E7A08"/>
    <w:rsid w:val="009E7B02"/>
    <w:rsid w:val="009E7C4A"/>
    <w:rsid w:val="009E7C5D"/>
    <w:rsid w:val="009E7F21"/>
    <w:rsid w:val="009E7FE6"/>
    <w:rsid w:val="009F15AD"/>
    <w:rsid w:val="009F1823"/>
    <w:rsid w:val="009F1FAA"/>
    <w:rsid w:val="009F2585"/>
    <w:rsid w:val="009F27FB"/>
    <w:rsid w:val="009F352D"/>
    <w:rsid w:val="009F3AB1"/>
    <w:rsid w:val="009F5218"/>
    <w:rsid w:val="009F5957"/>
    <w:rsid w:val="009F64C0"/>
    <w:rsid w:val="009F6579"/>
    <w:rsid w:val="009F692B"/>
    <w:rsid w:val="009F781F"/>
    <w:rsid w:val="009F78AA"/>
    <w:rsid w:val="00A00137"/>
    <w:rsid w:val="00A01382"/>
    <w:rsid w:val="00A0261D"/>
    <w:rsid w:val="00A029B2"/>
    <w:rsid w:val="00A032CA"/>
    <w:rsid w:val="00A0370E"/>
    <w:rsid w:val="00A038A6"/>
    <w:rsid w:val="00A0418C"/>
    <w:rsid w:val="00A04817"/>
    <w:rsid w:val="00A05AC5"/>
    <w:rsid w:val="00A05E77"/>
    <w:rsid w:val="00A05EC1"/>
    <w:rsid w:val="00A06130"/>
    <w:rsid w:val="00A06197"/>
    <w:rsid w:val="00A061C9"/>
    <w:rsid w:val="00A063FF"/>
    <w:rsid w:val="00A06EEC"/>
    <w:rsid w:val="00A101F8"/>
    <w:rsid w:val="00A10C45"/>
    <w:rsid w:val="00A111A8"/>
    <w:rsid w:val="00A11B94"/>
    <w:rsid w:val="00A11CB3"/>
    <w:rsid w:val="00A14911"/>
    <w:rsid w:val="00A15D8D"/>
    <w:rsid w:val="00A16250"/>
    <w:rsid w:val="00A16630"/>
    <w:rsid w:val="00A1664F"/>
    <w:rsid w:val="00A16D2C"/>
    <w:rsid w:val="00A203F8"/>
    <w:rsid w:val="00A2059E"/>
    <w:rsid w:val="00A205D9"/>
    <w:rsid w:val="00A20BF4"/>
    <w:rsid w:val="00A21A13"/>
    <w:rsid w:val="00A21D1F"/>
    <w:rsid w:val="00A227C7"/>
    <w:rsid w:val="00A22A46"/>
    <w:rsid w:val="00A23BB1"/>
    <w:rsid w:val="00A23D8A"/>
    <w:rsid w:val="00A24272"/>
    <w:rsid w:val="00A24577"/>
    <w:rsid w:val="00A24647"/>
    <w:rsid w:val="00A246D5"/>
    <w:rsid w:val="00A24B3F"/>
    <w:rsid w:val="00A250A2"/>
    <w:rsid w:val="00A25247"/>
    <w:rsid w:val="00A25304"/>
    <w:rsid w:val="00A25AE0"/>
    <w:rsid w:val="00A25DAC"/>
    <w:rsid w:val="00A261B3"/>
    <w:rsid w:val="00A265A2"/>
    <w:rsid w:val="00A26C04"/>
    <w:rsid w:val="00A27905"/>
    <w:rsid w:val="00A27B87"/>
    <w:rsid w:val="00A30809"/>
    <w:rsid w:val="00A30A57"/>
    <w:rsid w:val="00A31096"/>
    <w:rsid w:val="00A31241"/>
    <w:rsid w:val="00A31D1C"/>
    <w:rsid w:val="00A31E18"/>
    <w:rsid w:val="00A31EB6"/>
    <w:rsid w:val="00A333C1"/>
    <w:rsid w:val="00A33AC1"/>
    <w:rsid w:val="00A33C49"/>
    <w:rsid w:val="00A33D8C"/>
    <w:rsid w:val="00A347A5"/>
    <w:rsid w:val="00A34A45"/>
    <w:rsid w:val="00A35335"/>
    <w:rsid w:val="00A35C9F"/>
    <w:rsid w:val="00A36371"/>
    <w:rsid w:val="00A36457"/>
    <w:rsid w:val="00A3681F"/>
    <w:rsid w:val="00A36C72"/>
    <w:rsid w:val="00A371F8"/>
    <w:rsid w:val="00A3722B"/>
    <w:rsid w:val="00A37CF7"/>
    <w:rsid w:val="00A37E15"/>
    <w:rsid w:val="00A40666"/>
    <w:rsid w:val="00A41652"/>
    <w:rsid w:val="00A418E5"/>
    <w:rsid w:val="00A41C8A"/>
    <w:rsid w:val="00A4209F"/>
    <w:rsid w:val="00A433BA"/>
    <w:rsid w:val="00A45097"/>
    <w:rsid w:val="00A4573C"/>
    <w:rsid w:val="00A45EB7"/>
    <w:rsid w:val="00A461E7"/>
    <w:rsid w:val="00A47097"/>
    <w:rsid w:val="00A47D01"/>
    <w:rsid w:val="00A47EEE"/>
    <w:rsid w:val="00A505F8"/>
    <w:rsid w:val="00A506EC"/>
    <w:rsid w:val="00A50764"/>
    <w:rsid w:val="00A513B7"/>
    <w:rsid w:val="00A515CB"/>
    <w:rsid w:val="00A51677"/>
    <w:rsid w:val="00A51841"/>
    <w:rsid w:val="00A5198E"/>
    <w:rsid w:val="00A52670"/>
    <w:rsid w:val="00A52AFC"/>
    <w:rsid w:val="00A52EBF"/>
    <w:rsid w:val="00A53235"/>
    <w:rsid w:val="00A5356E"/>
    <w:rsid w:val="00A53BF1"/>
    <w:rsid w:val="00A54202"/>
    <w:rsid w:val="00A5421C"/>
    <w:rsid w:val="00A5451C"/>
    <w:rsid w:val="00A546D4"/>
    <w:rsid w:val="00A547E0"/>
    <w:rsid w:val="00A5486D"/>
    <w:rsid w:val="00A54D29"/>
    <w:rsid w:val="00A54DD3"/>
    <w:rsid w:val="00A54E76"/>
    <w:rsid w:val="00A55A5D"/>
    <w:rsid w:val="00A55FF0"/>
    <w:rsid w:val="00A56313"/>
    <w:rsid w:val="00A6072A"/>
    <w:rsid w:val="00A61236"/>
    <w:rsid w:val="00A61321"/>
    <w:rsid w:val="00A616DC"/>
    <w:rsid w:val="00A61E36"/>
    <w:rsid w:val="00A62AFF"/>
    <w:rsid w:val="00A63F71"/>
    <w:rsid w:val="00A642E4"/>
    <w:rsid w:val="00A64747"/>
    <w:rsid w:val="00A6501C"/>
    <w:rsid w:val="00A65400"/>
    <w:rsid w:val="00A654A5"/>
    <w:rsid w:val="00A65C42"/>
    <w:rsid w:val="00A66333"/>
    <w:rsid w:val="00A6668F"/>
    <w:rsid w:val="00A67201"/>
    <w:rsid w:val="00A67629"/>
    <w:rsid w:val="00A7011B"/>
    <w:rsid w:val="00A70DB3"/>
    <w:rsid w:val="00A70FB9"/>
    <w:rsid w:val="00A725EE"/>
    <w:rsid w:val="00A732AD"/>
    <w:rsid w:val="00A7361C"/>
    <w:rsid w:val="00A7364F"/>
    <w:rsid w:val="00A73777"/>
    <w:rsid w:val="00A73DEF"/>
    <w:rsid w:val="00A74823"/>
    <w:rsid w:val="00A754E2"/>
    <w:rsid w:val="00A7550D"/>
    <w:rsid w:val="00A757FA"/>
    <w:rsid w:val="00A75D68"/>
    <w:rsid w:val="00A76AA0"/>
    <w:rsid w:val="00A770A6"/>
    <w:rsid w:val="00A770E8"/>
    <w:rsid w:val="00A77725"/>
    <w:rsid w:val="00A77ED2"/>
    <w:rsid w:val="00A80BCC"/>
    <w:rsid w:val="00A81834"/>
    <w:rsid w:val="00A82010"/>
    <w:rsid w:val="00A829AC"/>
    <w:rsid w:val="00A837C9"/>
    <w:rsid w:val="00A837D9"/>
    <w:rsid w:val="00A83C56"/>
    <w:rsid w:val="00A84A29"/>
    <w:rsid w:val="00A84A9F"/>
    <w:rsid w:val="00A84F9D"/>
    <w:rsid w:val="00A85746"/>
    <w:rsid w:val="00A85A95"/>
    <w:rsid w:val="00A85D95"/>
    <w:rsid w:val="00A868B8"/>
    <w:rsid w:val="00A868D4"/>
    <w:rsid w:val="00A87610"/>
    <w:rsid w:val="00A90585"/>
    <w:rsid w:val="00A9187C"/>
    <w:rsid w:val="00A9198E"/>
    <w:rsid w:val="00A91B75"/>
    <w:rsid w:val="00A91C06"/>
    <w:rsid w:val="00A91D02"/>
    <w:rsid w:val="00A92A05"/>
    <w:rsid w:val="00A94027"/>
    <w:rsid w:val="00A94B31"/>
    <w:rsid w:val="00A94E46"/>
    <w:rsid w:val="00A9563F"/>
    <w:rsid w:val="00A956F6"/>
    <w:rsid w:val="00A9649F"/>
    <w:rsid w:val="00A96B61"/>
    <w:rsid w:val="00A97070"/>
    <w:rsid w:val="00A9731F"/>
    <w:rsid w:val="00A9737E"/>
    <w:rsid w:val="00A979AB"/>
    <w:rsid w:val="00A97C92"/>
    <w:rsid w:val="00AA0124"/>
    <w:rsid w:val="00AA0290"/>
    <w:rsid w:val="00AA0BA7"/>
    <w:rsid w:val="00AA0D30"/>
    <w:rsid w:val="00AA0E11"/>
    <w:rsid w:val="00AA0FB4"/>
    <w:rsid w:val="00AA16AA"/>
    <w:rsid w:val="00AA19B5"/>
    <w:rsid w:val="00AA2296"/>
    <w:rsid w:val="00AA2EBC"/>
    <w:rsid w:val="00AA3498"/>
    <w:rsid w:val="00AA3C7B"/>
    <w:rsid w:val="00AA4007"/>
    <w:rsid w:val="00AA4665"/>
    <w:rsid w:val="00AA5594"/>
    <w:rsid w:val="00AA5F75"/>
    <w:rsid w:val="00AA6057"/>
    <w:rsid w:val="00AA6E77"/>
    <w:rsid w:val="00AA6FD1"/>
    <w:rsid w:val="00AA7046"/>
    <w:rsid w:val="00AA73A0"/>
    <w:rsid w:val="00AB025E"/>
    <w:rsid w:val="00AB0672"/>
    <w:rsid w:val="00AB08D2"/>
    <w:rsid w:val="00AB1245"/>
    <w:rsid w:val="00AB1D74"/>
    <w:rsid w:val="00AB2CF0"/>
    <w:rsid w:val="00AB335A"/>
    <w:rsid w:val="00AB38C3"/>
    <w:rsid w:val="00AB3B06"/>
    <w:rsid w:val="00AB4003"/>
    <w:rsid w:val="00AB4487"/>
    <w:rsid w:val="00AB4F62"/>
    <w:rsid w:val="00AB5BDC"/>
    <w:rsid w:val="00AB5E3E"/>
    <w:rsid w:val="00AB60DB"/>
    <w:rsid w:val="00AB61B4"/>
    <w:rsid w:val="00AB701C"/>
    <w:rsid w:val="00AB728C"/>
    <w:rsid w:val="00AB77A4"/>
    <w:rsid w:val="00AC004D"/>
    <w:rsid w:val="00AC0A2E"/>
    <w:rsid w:val="00AC16CB"/>
    <w:rsid w:val="00AC2AA4"/>
    <w:rsid w:val="00AC3B04"/>
    <w:rsid w:val="00AC3D1F"/>
    <w:rsid w:val="00AC465F"/>
    <w:rsid w:val="00AC4AD9"/>
    <w:rsid w:val="00AC4E80"/>
    <w:rsid w:val="00AC51E0"/>
    <w:rsid w:val="00AC6D7E"/>
    <w:rsid w:val="00AC7382"/>
    <w:rsid w:val="00AC75A7"/>
    <w:rsid w:val="00AC75F7"/>
    <w:rsid w:val="00AC7D84"/>
    <w:rsid w:val="00AD0890"/>
    <w:rsid w:val="00AD1DB7"/>
    <w:rsid w:val="00AD200B"/>
    <w:rsid w:val="00AD2918"/>
    <w:rsid w:val="00AD2D1E"/>
    <w:rsid w:val="00AD4457"/>
    <w:rsid w:val="00AD4A95"/>
    <w:rsid w:val="00AD5146"/>
    <w:rsid w:val="00AD5485"/>
    <w:rsid w:val="00AD5985"/>
    <w:rsid w:val="00AD5BF8"/>
    <w:rsid w:val="00AD5C7C"/>
    <w:rsid w:val="00AD73ED"/>
    <w:rsid w:val="00AE0965"/>
    <w:rsid w:val="00AE0E49"/>
    <w:rsid w:val="00AE1C31"/>
    <w:rsid w:val="00AE1DFE"/>
    <w:rsid w:val="00AE22F6"/>
    <w:rsid w:val="00AE27E6"/>
    <w:rsid w:val="00AE2816"/>
    <w:rsid w:val="00AE3E04"/>
    <w:rsid w:val="00AE42A7"/>
    <w:rsid w:val="00AE488D"/>
    <w:rsid w:val="00AE4C68"/>
    <w:rsid w:val="00AE5852"/>
    <w:rsid w:val="00AE5B54"/>
    <w:rsid w:val="00AE5F21"/>
    <w:rsid w:val="00AE6DAF"/>
    <w:rsid w:val="00AE72B0"/>
    <w:rsid w:val="00AE7C34"/>
    <w:rsid w:val="00AE7EEB"/>
    <w:rsid w:val="00AE7F61"/>
    <w:rsid w:val="00AF0548"/>
    <w:rsid w:val="00AF199B"/>
    <w:rsid w:val="00AF219F"/>
    <w:rsid w:val="00AF2700"/>
    <w:rsid w:val="00AF2719"/>
    <w:rsid w:val="00AF2DFD"/>
    <w:rsid w:val="00AF33C0"/>
    <w:rsid w:val="00AF3A26"/>
    <w:rsid w:val="00AF3E73"/>
    <w:rsid w:val="00AF4D81"/>
    <w:rsid w:val="00AF4FF8"/>
    <w:rsid w:val="00AF527C"/>
    <w:rsid w:val="00AF57F6"/>
    <w:rsid w:val="00AF5CAA"/>
    <w:rsid w:val="00AF615E"/>
    <w:rsid w:val="00AF6274"/>
    <w:rsid w:val="00AF6355"/>
    <w:rsid w:val="00AF6F29"/>
    <w:rsid w:val="00AF7655"/>
    <w:rsid w:val="00AF796D"/>
    <w:rsid w:val="00B00383"/>
    <w:rsid w:val="00B00C45"/>
    <w:rsid w:val="00B010E0"/>
    <w:rsid w:val="00B0117D"/>
    <w:rsid w:val="00B012A7"/>
    <w:rsid w:val="00B01B17"/>
    <w:rsid w:val="00B0204A"/>
    <w:rsid w:val="00B02878"/>
    <w:rsid w:val="00B02971"/>
    <w:rsid w:val="00B02A30"/>
    <w:rsid w:val="00B035AA"/>
    <w:rsid w:val="00B03669"/>
    <w:rsid w:val="00B03A06"/>
    <w:rsid w:val="00B03E2C"/>
    <w:rsid w:val="00B03E91"/>
    <w:rsid w:val="00B0445A"/>
    <w:rsid w:val="00B0533F"/>
    <w:rsid w:val="00B053BA"/>
    <w:rsid w:val="00B05B02"/>
    <w:rsid w:val="00B06621"/>
    <w:rsid w:val="00B06ADB"/>
    <w:rsid w:val="00B06D69"/>
    <w:rsid w:val="00B07394"/>
    <w:rsid w:val="00B07963"/>
    <w:rsid w:val="00B07A5E"/>
    <w:rsid w:val="00B1054C"/>
    <w:rsid w:val="00B105A4"/>
    <w:rsid w:val="00B10DE7"/>
    <w:rsid w:val="00B11AA6"/>
    <w:rsid w:val="00B12356"/>
    <w:rsid w:val="00B125E2"/>
    <w:rsid w:val="00B1274E"/>
    <w:rsid w:val="00B13A26"/>
    <w:rsid w:val="00B13DF2"/>
    <w:rsid w:val="00B148DE"/>
    <w:rsid w:val="00B1578E"/>
    <w:rsid w:val="00B162DE"/>
    <w:rsid w:val="00B1649D"/>
    <w:rsid w:val="00B164F6"/>
    <w:rsid w:val="00B166CA"/>
    <w:rsid w:val="00B168AA"/>
    <w:rsid w:val="00B16B48"/>
    <w:rsid w:val="00B16C6F"/>
    <w:rsid w:val="00B17585"/>
    <w:rsid w:val="00B20A1A"/>
    <w:rsid w:val="00B20C0D"/>
    <w:rsid w:val="00B2102F"/>
    <w:rsid w:val="00B21A7B"/>
    <w:rsid w:val="00B226D2"/>
    <w:rsid w:val="00B22C3E"/>
    <w:rsid w:val="00B23BDA"/>
    <w:rsid w:val="00B24214"/>
    <w:rsid w:val="00B247D0"/>
    <w:rsid w:val="00B258C4"/>
    <w:rsid w:val="00B2591B"/>
    <w:rsid w:val="00B261FC"/>
    <w:rsid w:val="00B262B5"/>
    <w:rsid w:val="00B26676"/>
    <w:rsid w:val="00B26A64"/>
    <w:rsid w:val="00B26BEF"/>
    <w:rsid w:val="00B26EBB"/>
    <w:rsid w:val="00B27B89"/>
    <w:rsid w:val="00B27DD2"/>
    <w:rsid w:val="00B30746"/>
    <w:rsid w:val="00B307A1"/>
    <w:rsid w:val="00B309BA"/>
    <w:rsid w:val="00B30F57"/>
    <w:rsid w:val="00B312D1"/>
    <w:rsid w:val="00B315DB"/>
    <w:rsid w:val="00B328DA"/>
    <w:rsid w:val="00B329BF"/>
    <w:rsid w:val="00B333D0"/>
    <w:rsid w:val="00B34483"/>
    <w:rsid w:val="00B34816"/>
    <w:rsid w:val="00B348A0"/>
    <w:rsid w:val="00B34B2B"/>
    <w:rsid w:val="00B3540E"/>
    <w:rsid w:val="00B35802"/>
    <w:rsid w:val="00B358F7"/>
    <w:rsid w:val="00B35EBE"/>
    <w:rsid w:val="00B3646E"/>
    <w:rsid w:val="00B4004A"/>
    <w:rsid w:val="00B40325"/>
    <w:rsid w:val="00B40777"/>
    <w:rsid w:val="00B40EDC"/>
    <w:rsid w:val="00B4107A"/>
    <w:rsid w:val="00B410C4"/>
    <w:rsid w:val="00B41977"/>
    <w:rsid w:val="00B41AF8"/>
    <w:rsid w:val="00B41D2F"/>
    <w:rsid w:val="00B42A4F"/>
    <w:rsid w:val="00B42B30"/>
    <w:rsid w:val="00B42CA3"/>
    <w:rsid w:val="00B432BF"/>
    <w:rsid w:val="00B43A1A"/>
    <w:rsid w:val="00B43B1C"/>
    <w:rsid w:val="00B44803"/>
    <w:rsid w:val="00B450CE"/>
    <w:rsid w:val="00B45AAE"/>
    <w:rsid w:val="00B4685D"/>
    <w:rsid w:val="00B46C9A"/>
    <w:rsid w:val="00B46DD6"/>
    <w:rsid w:val="00B51237"/>
    <w:rsid w:val="00B51857"/>
    <w:rsid w:val="00B518C7"/>
    <w:rsid w:val="00B51B85"/>
    <w:rsid w:val="00B520AA"/>
    <w:rsid w:val="00B5232F"/>
    <w:rsid w:val="00B53B4B"/>
    <w:rsid w:val="00B54B1A"/>
    <w:rsid w:val="00B54E8E"/>
    <w:rsid w:val="00B5561E"/>
    <w:rsid w:val="00B55BA8"/>
    <w:rsid w:val="00B55EFA"/>
    <w:rsid w:val="00B56F44"/>
    <w:rsid w:val="00B5753F"/>
    <w:rsid w:val="00B577FD"/>
    <w:rsid w:val="00B57E80"/>
    <w:rsid w:val="00B60BDA"/>
    <w:rsid w:val="00B60F7B"/>
    <w:rsid w:val="00B611DD"/>
    <w:rsid w:val="00B638F7"/>
    <w:rsid w:val="00B64751"/>
    <w:rsid w:val="00B648C9"/>
    <w:rsid w:val="00B64CF7"/>
    <w:rsid w:val="00B667DD"/>
    <w:rsid w:val="00B6767C"/>
    <w:rsid w:val="00B676C1"/>
    <w:rsid w:val="00B7078C"/>
    <w:rsid w:val="00B707D8"/>
    <w:rsid w:val="00B70809"/>
    <w:rsid w:val="00B7081B"/>
    <w:rsid w:val="00B70BAA"/>
    <w:rsid w:val="00B7184D"/>
    <w:rsid w:val="00B71ADF"/>
    <w:rsid w:val="00B71CAE"/>
    <w:rsid w:val="00B71E5B"/>
    <w:rsid w:val="00B72442"/>
    <w:rsid w:val="00B724B1"/>
    <w:rsid w:val="00B72E34"/>
    <w:rsid w:val="00B73193"/>
    <w:rsid w:val="00B7366A"/>
    <w:rsid w:val="00B73B79"/>
    <w:rsid w:val="00B742DC"/>
    <w:rsid w:val="00B75376"/>
    <w:rsid w:val="00B75884"/>
    <w:rsid w:val="00B75DFD"/>
    <w:rsid w:val="00B75FEE"/>
    <w:rsid w:val="00B76231"/>
    <w:rsid w:val="00B7629E"/>
    <w:rsid w:val="00B764D8"/>
    <w:rsid w:val="00B76829"/>
    <w:rsid w:val="00B76934"/>
    <w:rsid w:val="00B7697B"/>
    <w:rsid w:val="00B76F93"/>
    <w:rsid w:val="00B771CB"/>
    <w:rsid w:val="00B77516"/>
    <w:rsid w:val="00B80355"/>
    <w:rsid w:val="00B8044C"/>
    <w:rsid w:val="00B807A7"/>
    <w:rsid w:val="00B8080A"/>
    <w:rsid w:val="00B81978"/>
    <w:rsid w:val="00B81A8A"/>
    <w:rsid w:val="00B81E63"/>
    <w:rsid w:val="00B82581"/>
    <w:rsid w:val="00B829B7"/>
    <w:rsid w:val="00B849A0"/>
    <w:rsid w:val="00B84E69"/>
    <w:rsid w:val="00B87440"/>
    <w:rsid w:val="00B87BEA"/>
    <w:rsid w:val="00B87C77"/>
    <w:rsid w:val="00B87E6F"/>
    <w:rsid w:val="00B905A8"/>
    <w:rsid w:val="00B90DAF"/>
    <w:rsid w:val="00B94171"/>
    <w:rsid w:val="00B948A4"/>
    <w:rsid w:val="00B950CB"/>
    <w:rsid w:val="00B95C2E"/>
    <w:rsid w:val="00B96744"/>
    <w:rsid w:val="00B971A3"/>
    <w:rsid w:val="00B97867"/>
    <w:rsid w:val="00BA01A0"/>
    <w:rsid w:val="00BA0809"/>
    <w:rsid w:val="00BA0B2A"/>
    <w:rsid w:val="00BA15A4"/>
    <w:rsid w:val="00BA1708"/>
    <w:rsid w:val="00BA1A0A"/>
    <w:rsid w:val="00BA27EC"/>
    <w:rsid w:val="00BA2B1E"/>
    <w:rsid w:val="00BA2D02"/>
    <w:rsid w:val="00BA3259"/>
    <w:rsid w:val="00BA3641"/>
    <w:rsid w:val="00BA365D"/>
    <w:rsid w:val="00BA36BB"/>
    <w:rsid w:val="00BA3A67"/>
    <w:rsid w:val="00BA3DA4"/>
    <w:rsid w:val="00BA492B"/>
    <w:rsid w:val="00BA492D"/>
    <w:rsid w:val="00BA4BD3"/>
    <w:rsid w:val="00BA4D0E"/>
    <w:rsid w:val="00BA568B"/>
    <w:rsid w:val="00BA5EE9"/>
    <w:rsid w:val="00BA5F05"/>
    <w:rsid w:val="00BA6C43"/>
    <w:rsid w:val="00BA6CAA"/>
    <w:rsid w:val="00BA7647"/>
    <w:rsid w:val="00BA7CAE"/>
    <w:rsid w:val="00BA7D75"/>
    <w:rsid w:val="00BA7E69"/>
    <w:rsid w:val="00BB05E3"/>
    <w:rsid w:val="00BB1545"/>
    <w:rsid w:val="00BB268A"/>
    <w:rsid w:val="00BB2B37"/>
    <w:rsid w:val="00BB36F1"/>
    <w:rsid w:val="00BB38D4"/>
    <w:rsid w:val="00BB3F43"/>
    <w:rsid w:val="00BB4101"/>
    <w:rsid w:val="00BB4103"/>
    <w:rsid w:val="00BB4107"/>
    <w:rsid w:val="00BB41C4"/>
    <w:rsid w:val="00BB51E9"/>
    <w:rsid w:val="00BB6327"/>
    <w:rsid w:val="00BB684A"/>
    <w:rsid w:val="00BB6996"/>
    <w:rsid w:val="00BB6BD1"/>
    <w:rsid w:val="00BB6CDC"/>
    <w:rsid w:val="00BB71E2"/>
    <w:rsid w:val="00BC1221"/>
    <w:rsid w:val="00BC154B"/>
    <w:rsid w:val="00BC18D0"/>
    <w:rsid w:val="00BC1E3A"/>
    <w:rsid w:val="00BC1F47"/>
    <w:rsid w:val="00BC1FDA"/>
    <w:rsid w:val="00BC31D1"/>
    <w:rsid w:val="00BC3603"/>
    <w:rsid w:val="00BC3E86"/>
    <w:rsid w:val="00BC4144"/>
    <w:rsid w:val="00BC46B1"/>
    <w:rsid w:val="00BC4712"/>
    <w:rsid w:val="00BC4CEA"/>
    <w:rsid w:val="00BC4E3A"/>
    <w:rsid w:val="00BC527B"/>
    <w:rsid w:val="00BC6F7C"/>
    <w:rsid w:val="00BC732E"/>
    <w:rsid w:val="00BC76B1"/>
    <w:rsid w:val="00BD026F"/>
    <w:rsid w:val="00BD03D1"/>
    <w:rsid w:val="00BD0CB9"/>
    <w:rsid w:val="00BD15A1"/>
    <w:rsid w:val="00BD1A15"/>
    <w:rsid w:val="00BD1E86"/>
    <w:rsid w:val="00BD2B2C"/>
    <w:rsid w:val="00BD3DC7"/>
    <w:rsid w:val="00BD3E31"/>
    <w:rsid w:val="00BD48BC"/>
    <w:rsid w:val="00BD50CB"/>
    <w:rsid w:val="00BD53C0"/>
    <w:rsid w:val="00BD5B42"/>
    <w:rsid w:val="00BD5CA8"/>
    <w:rsid w:val="00BD5ECE"/>
    <w:rsid w:val="00BD6310"/>
    <w:rsid w:val="00BD6F0C"/>
    <w:rsid w:val="00BD70FB"/>
    <w:rsid w:val="00BD7E80"/>
    <w:rsid w:val="00BE003F"/>
    <w:rsid w:val="00BE01BD"/>
    <w:rsid w:val="00BE0A26"/>
    <w:rsid w:val="00BE0F20"/>
    <w:rsid w:val="00BE26FA"/>
    <w:rsid w:val="00BE30C9"/>
    <w:rsid w:val="00BE3624"/>
    <w:rsid w:val="00BE3C67"/>
    <w:rsid w:val="00BE4555"/>
    <w:rsid w:val="00BE466C"/>
    <w:rsid w:val="00BE5B89"/>
    <w:rsid w:val="00BE5CD0"/>
    <w:rsid w:val="00BE6255"/>
    <w:rsid w:val="00BE62A0"/>
    <w:rsid w:val="00BE692F"/>
    <w:rsid w:val="00BE75F5"/>
    <w:rsid w:val="00BE7EC8"/>
    <w:rsid w:val="00BF01ED"/>
    <w:rsid w:val="00BF14E2"/>
    <w:rsid w:val="00BF37B6"/>
    <w:rsid w:val="00BF3A0E"/>
    <w:rsid w:val="00BF46FB"/>
    <w:rsid w:val="00BF4BF5"/>
    <w:rsid w:val="00BF4FB6"/>
    <w:rsid w:val="00BF79BE"/>
    <w:rsid w:val="00BF7A40"/>
    <w:rsid w:val="00BF7D75"/>
    <w:rsid w:val="00C000F5"/>
    <w:rsid w:val="00C007C7"/>
    <w:rsid w:val="00C01427"/>
    <w:rsid w:val="00C01790"/>
    <w:rsid w:val="00C01B29"/>
    <w:rsid w:val="00C02089"/>
    <w:rsid w:val="00C021E2"/>
    <w:rsid w:val="00C02373"/>
    <w:rsid w:val="00C027D7"/>
    <w:rsid w:val="00C02B2E"/>
    <w:rsid w:val="00C02B61"/>
    <w:rsid w:val="00C047BD"/>
    <w:rsid w:val="00C04F9C"/>
    <w:rsid w:val="00C055B6"/>
    <w:rsid w:val="00C057B4"/>
    <w:rsid w:val="00C05D86"/>
    <w:rsid w:val="00C06626"/>
    <w:rsid w:val="00C06A9F"/>
    <w:rsid w:val="00C06B63"/>
    <w:rsid w:val="00C06C6D"/>
    <w:rsid w:val="00C07177"/>
    <w:rsid w:val="00C071F3"/>
    <w:rsid w:val="00C07597"/>
    <w:rsid w:val="00C07949"/>
    <w:rsid w:val="00C10319"/>
    <w:rsid w:val="00C10973"/>
    <w:rsid w:val="00C109E0"/>
    <w:rsid w:val="00C10BF9"/>
    <w:rsid w:val="00C11009"/>
    <w:rsid w:val="00C1234A"/>
    <w:rsid w:val="00C12504"/>
    <w:rsid w:val="00C127B0"/>
    <w:rsid w:val="00C12A74"/>
    <w:rsid w:val="00C12FDE"/>
    <w:rsid w:val="00C145AC"/>
    <w:rsid w:val="00C157D1"/>
    <w:rsid w:val="00C15BD6"/>
    <w:rsid w:val="00C15C7F"/>
    <w:rsid w:val="00C1646F"/>
    <w:rsid w:val="00C1723D"/>
    <w:rsid w:val="00C179F5"/>
    <w:rsid w:val="00C20023"/>
    <w:rsid w:val="00C207F7"/>
    <w:rsid w:val="00C20D33"/>
    <w:rsid w:val="00C213CF"/>
    <w:rsid w:val="00C21685"/>
    <w:rsid w:val="00C21784"/>
    <w:rsid w:val="00C21A93"/>
    <w:rsid w:val="00C21BE8"/>
    <w:rsid w:val="00C22345"/>
    <w:rsid w:val="00C22AD9"/>
    <w:rsid w:val="00C22B96"/>
    <w:rsid w:val="00C239D5"/>
    <w:rsid w:val="00C25038"/>
    <w:rsid w:val="00C2529E"/>
    <w:rsid w:val="00C25F7A"/>
    <w:rsid w:val="00C26482"/>
    <w:rsid w:val="00C2675F"/>
    <w:rsid w:val="00C26E85"/>
    <w:rsid w:val="00C270EC"/>
    <w:rsid w:val="00C27804"/>
    <w:rsid w:val="00C27C6A"/>
    <w:rsid w:val="00C300C6"/>
    <w:rsid w:val="00C30214"/>
    <w:rsid w:val="00C30839"/>
    <w:rsid w:val="00C31E11"/>
    <w:rsid w:val="00C322FC"/>
    <w:rsid w:val="00C327E8"/>
    <w:rsid w:val="00C32C3C"/>
    <w:rsid w:val="00C3392A"/>
    <w:rsid w:val="00C344D3"/>
    <w:rsid w:val="00C34DB4"/>
    <w:rsid w:val="00C353DA"/>
    <w:rsid w:val="00C354BF"/>
    <w:rsid w:val="00C3555D"/>
    <w:rsid w:val="00C357E8"/>
    <w:rsid w:val="00C357FA"/>
    <w:rsid w:val="00C35FF8"/>
    <w:rsid w:val="00C361A8"/>
    <w:rsid w:val="00C3694A"/>
    <w:rsid w:val="00C36A56"/>
    <w:rsid w:val="00C37932"/>
    <w:rsid w:val="00C37F99"/>
    <w:rsid w:val="00C401E1"/>
    <w:rsid w:val="00C407BA"/>
    <w:rsid w:val="00C40DF5"/>
    <w:rsid w:val="00C41D7D"/>
    <w:rsid w:val="00C42874"/>
    <w:rsid w:val="00C42A16"/>
    <w:rsid w:val="00C42C16"/>
    <w:rsid w:val="00C42E5F"/>
    <w:rsid w:val="00C43176"/>
    <w:rsid w:val="00C44291"/>
    <w:rsid w:val="00C44AE8"/>
    <w:rsid w:val="00C45345"/>
    <w:rsid w:val="00C4601B"/>
    <w:rsid w:val="00C463DC"/>
    <w:rsid w:val="00C47BCF"/>
    <w:rsid w:val="00C47EC3"/>
    <w:rsid w:val="00C47FE3"/>
    <w:rsid w:val="00C50017"/>
    <w:rsid w:val="00C507FB"/>
    <w:rsid w:val="00C51327"/>
    <w:rsid w:val="00C51997"/>
    <w:rsid w:val="00C51B9F"/>
    <w:rsid w:val="00C5234C"/>
    <w:rsid w:val="00C52428"/>
    <w:rsid w:val="00C528DF"/>
    <w:rsid w:val="00C52E26"/>
    <w:rsid w:val="00C535A7"/>
    <w:rsid w:val="00C539CA"/>
    <w:rsid w:val="00C53BBA"/>
    <w:rsid w:val="00C541CF"/>
    <w:rsid w:val="00C54809"/>
    <w:rsid w:val="00C54B8A"/>
    <w:rsid w:val="00C551F8"/>
    <w:rsid w:val="00C557EB"/>
    <w:rsid w:val="00C55DB9"/>
    <w:rsid w:val="00C5628D"/>
    <w:rsid w:val="00C57056"/>
    <w:rsid w:val="00C57BFE"/>
    <w:rsid w:val="00C57DD2"/>
    <w:rsid w:val="00C60E3B"/>
    <w:rsid w:val="00C612FF"/>
    <w:rsid w:val="00C613C1"/>
    <w:rsid w:val="00C629FC"/>
    <w:rsid w:val="00C6357F"/>
    <w:rsid w:val="00C63BC4"/>
    <w:rsid w:val="00C63F8F"/>
    <w:rsid w:val="00C64C81"/>
    <w:rsid w:val="00C6534E"/>
    <w:rsid w:val="00C656AD"/>
    <w:rsid w:val="00C65B88"/>
    <w:rsid w:val="00C65C2C"/>
    <w:rsid w:val="00C65E3F"/>
    <w:rsid w:val="00C6630A"/>
    <w:rsid w:val="00C66A72"/>
    <w:rsid w:val="00C66A79"/>
    <w:rsid w:val="00C66B4B"/>
    <w:rsid w:val="00C670E3"/>
    <w:rsid w:val="00C67529"/>
    <w:rsid w:val="00C702E7"/>
    <w:rsid w:val="00C7050D"/>
    <w:rsid w:val="00C705FC"/>
    <w:rsid w:val="00C70700"/>
    <w:rsid w:val="00C71569"/>
    <w:rsid w:val="00C7220D"/>
    <w:rsid w:val="00C72C43"/>
    <w:rsid w:val="00C73098"/>
    <w:rsid w:val="00C734BD"/>
    <w:rsid w:val="00C73C6C"/>
    <w:rsid w:val="00C73D2B"/>
    <w:rsid w:val="00C74BC4"/>
    <w:rsid w:val="00C762A0"/>
    <w:rsid w:val="00C76F4C"/>
    <w:rsid w:val="00C77DF4"/>
    <w:rsid w:val="00C804A6"/>
    <w:rsid w:val="00C810FA"/>
    <w:rsid w:val="00C81147"/>
    <w:rsid w:val="00C81295"/>
    <w:rsid w:val="00C8161A"/>
    <w:rsid w:val="00C81F2A"/>
    <w:rsid w:val="00C82175"/>
    <w:rsid w:val="00C82305"/>
    <w:rsid w:val="00C8280B"/>
    <w:rsid w:val="00C82D86"/>
    <w:rsid w:val="00C83172"/>
    <w:rsid w:val="00C831E1"/>
    <w:rsid w:val="00C8361E"/>
    <w:rsid w:val="00C84BD6"/>
    <w:rsid w:val="00C8595B"/>
    <w:rsid w:val="00C85A08"/>
    <w:rsid w:val="00C85ECA"/>
    <w:rsid w:val="00C861F7"/>
    <w:rsid w:val="00C8697E"/>
    <w:rsid w:val="00C875C6"/>
    <w:rsid w:val="00C87E77"/>
    <w:rsid w:val="00C90579"/>
    <w:rsid w:val="00C90781"/>
    <w:rsid w:val="00C9143A"/>
    <w:rsid w:val="00C91DA5"/>
    <w:rsid w:val="00C92D99"/>
    <w:rsid w:val="00C935C2"/>
    <w:rsid w:val="00C9372B"/>
    <w:rsid w:val="00C93B3E"/>
    <w:rsid w:val="00C9433B"/>
    <w:rsid w:val="00C958AF"/>
    <w:rsid w:val="00C9690F"/>
    <w:rsid w:val="00C9720B"/>
    <w:rsid w:val="00C97351"/>
    <w:rsid w:val="00C97DD4"/>
    <w:rsid w:val="00C97EE6"/>
    <w:rsid w:val="00CA0818"/>
    <w:rsid w:val="00CA0AD7"/>
    <w:rsid w:val="00CA17B5"/>
    <w:rsid w:val="00CA29A8"/>
    <w:rsid w:val="00CA3DB2"/>
    <w:rsid w:val="00CA4394"/>
    <w:rsid w:val="00CA490B"/>
    <w:rsid w:val="00CA4A76"/>
    <w:rsid w:val="00CA4A7C"/>
    <w:rsid w:val="00CA4C47"/>
    <w:rsid w:val="00CA4EBB"/>
    <w:rsid w:val="00CA5564"/>
    <w:rsid w:val="00CA56F2"/>
    <w:rsid w:val="00CA5C97"/>
    <w:rsid w:val="00CA5E0D"/>
    <w:rsid w:val="00CA6083"/>
    <w:rsid w:val="00CA6609"/>
    <w:rsid w:val="00CA679F"/>
    <w:rsid w:val="00CA6CC1"/>
    <w:rsid w:val="00CA78C9"/>
    <w:rsid w:val="00CA797C"/>
    <w:rsid w:val="00CA79A4"/>
    <w:rsid w:val="00CB0171"/>
    <w:rsid w:val="00CB199D"/>
    <w:rsid w:val="00CB1E19"/>
    <w:rsid w:val="00CB1E85"/>
    <w:rsid w:val="00CB2135"/>
    <w:rsid w:val="00CB23C7"/>
    <w:rsid w:val="00CB2529"/>
    <w:rsid w:val="00CB359C"/>
    <w:rsid w:val="00CB36E2"/>
    <w:rsid w:val="00CB3CFB"/>
    <w:rsid w:val="00CB468E"/>
    <w:rsid w:val="00CB5919"/>
    <w:rsid w:val="00CB5E5F"/>
    <w:rsid w:val="00CB6305"/>
    <w:rsid w:val="00CB630F"/>
    <w:rsid w:val="00CB6555"/>
    <w:rsid w:val="00CB69C9"/>
    <w:rsid w:val="00CB738D"/>
    <w:rsid w:val="00CB74DD"/>
    <w:rsid w:val="00CB7529"/>
    <w:rsid w:val="00CC01CD"/>
    <w:rsid w:val="00CC05A5"/>
    <w:rsid w:val="00CC0EFB"/>
    <w:rsid w:val="00CC162D"/>
    <w:rsid w:val="00CC17A7"/>
    <w:rsid w:val="00CC1BFC"/>
    <w:rsid w:val="00CC1C5F"/>
    <w:rsid w:val="00CC2386"/>
    <w:rsid w:val="00CC290A"/>
    <w:rsid w:val="00CC2ACC"/>
    <w:rsid w:val="00CC2BBA"/>
    <w:rsid w:val="00CC2E20"/>
    <w:rsid w:val="00CC2E7C"/>
    <w:rsid w:val="00CC2EFF"/>
    <w:rsid w:val="00CC3557"/>
    <w:rsid w:val="00CC3C87"/>
    <w:rsid w:val="00CC3C91"/>
    <w:rsid w:val="00CC4306"/>
    <w:rsid w:val="00CC44C3"/>
    <w:rsid w:val="00CC4E1D"/>
    <w:rsid w:val="00CC4E27"/>
    <w:rsid w:val="00CC51D8"/>
    <w:rsid w:val="00CC5358"/>
    <w:rsid w:val="00CC563C"/>
    <w:rsid w:val="00CC5DD3"/>
    <w:rsid w:val="00CC6607"/>
    <w:rsid w:val="00CC6AD3"/>
    <w:rsid w:val="00CC781E"/>
    <w:rsid w:val="00CC78AF"/>
    <w:rsid w:val="00CD1596"/>
    <w:rsid w:val="00CD1733"/>
    <w:rsid w:val="00CD1A6D"/>
    <w:rsid w:val="00CD23BA"/>
    <w:rsid w:val="00CD37FC"/>
    <w:rsid w:val="00CD3922"/>
    <w:rsid w:val="00CD3F84"/>
    <w:rsid w:val="00CD3FAE"/>
    <w:rsid w:val="00CD42C4"/>
    <w:rsid w:val="00CD4325"/>
    <w:rsid w:val="00CD44F0"/>
    <w:rsid w:val="00CD4C48"/>
    <w:rsid w:val="00CD5263"/>
    <w:rsid w:val="00CD546B"/>
    <w:rsid w:val="00CD6457"/>
    <w:rsid w:val="00CD6593"/>
    <w:rsid w:val="00CD67DF"/>
    <w:rsid w:val="00CD7101"/>
    <w:rsid w:val="00CD71E2"/>
    <w:rsid w:val="00CD729B"/>
    <w:rsid w:val="00CD7D40"/>
    <w:rsid w:val="00CD7FD1"/>
    <w:rsid w:val="00CE02B2"/>
    <w:rsid w:val="00CE06CA"/>
    <w:rsid w:val="00CE0D0F"/>
    <w:rsid w:val="00CE0FA0"/>
    <w:rsid w:val="00CE0FEC"/>
    <w:rsid w:val="00CE2182"/>
    <w:rsid w:val="00CE2411"/>
    <w:rsid w:val="00CE2AE7"/>
    <w:rsid w:val="00CE31FB"/>
    <w:rsid w:val="00CE3C0A"/>
    <w:rsid w:val="00CE3CFD"/>
    <w:rsid w:val="00CE3FF6"/>
    <w:rsid w:val="00CE490F"/>
    <w:rsid w:val="00CE4D9A"/>
    <w:rsid w:val="00CE4E93"/>
    <w:rsid w:val="00CE5380"/>
    <w:rsid w:val="00CE5730"/>
    <w:rsid w:val="00CE583A"/>
    <w:rsid w:val="00CE5FFD"/>
    <w:rsid w:val="00CE6655"/>
    <w:rsid w:val="00CE6B8A"/>
    <w:rsid w:val="00CE6F60"/>
    <w:rsid w:val="00CE7349"/>
    <w:rsid w:val="00CE76E9"/>
    <w:rsid w:val="00CE784B"/>
    <w:rsid w:val="00CF04DA"/>
    <w:rsid w:val="00CF188C"/>
    <w:rsid w:val="00CF245F"/>
    <w:rsid w:val="00CF40FB"/>
    <w:rsid w:val="00CF4C14"/>
    <w:rsid w:val="00CF50E0"/>
    <w:rsid w:val="00CF5425"/>
    <w:rsid w:val="00CF5BD0"/>
    <w:rsid w:val="00CF5DCD"/>
    <w:rsid w:val="00CF610E"/>
    <w:rsid w:val="00CF6CA1"/>
    <w:rsid w:val="00CF6D6E"/>
    <w:rsid w:val="00CF7731"/>
    <w:rsid w:val="00CF78CE"/>
    <w:rsid w:val="00CF7ED9"/>
    <w:rsid w:val="00D00962"/>
    <w:rsid w:val="00D00A41"/>
    <w:rsid w:val="00D0147D"/>
    <w:rsid w:val="00D01574"/>
    <w:rsid w:val="00D01773"/>
    <w:rsid w:val="00D01BC4"/>
    <w:rsid w:val="00D01C4C"/>
    <w:rsid w:val="00D022F1"/>
    <w:rsid w:val="00D02EDB"/>
    <w:rsid w:val="00D03137"/>
    <w:rsid w:val="00D035EB"/>
    <w:rsid w:val="00D0389E"/>
    <w:rsid w:val="00D03C94"/>
    <w:rsid w:val="00D03D51"/>
    <w:rsid w:val="00D04A24"/>
    <w:rsid w:val="00D057C6"/>
    <w:rsid w:val="00D05E10"/>
    <w:rsid w:val="00D06052"/>
    <w:rsid w:val="00D06FB9"/>
    <w:rsid w:val="00D073FC"/>
    <w:rsid w:val="00D0766D"/>
    <w:rsid w:val="00D10D38"/>
    <w:rsid w:val="00D11496"/>
    <w:rsid w:val="00D11515"/>
    <w:rsid w:val="00D11BDC"/>
    <w:rsid w:val="00D11D48"/>
    <w:rsid w:val="00D1254C"/>
    <w:rsid w:val="00D137E3"/>
    <w:rsid w:val="00D13B8D"/>
    <w:rsid w:val="00D13BE7"/>
    <w:rsid w:val="00D140D4"/>
    <w:rsid w:val="00D14294"/>
    <w:rsid w:val="00D1432F"/>
    <w:rsid w:val="00D143D9"/>
    <w:rsid w:val="00D145FD"/>
    <w:rsid w:val="00D1535A"/>
    <w:rsid w:val="00D156BE"/>
    <w:rsid w:val="00D159CF"/>
    <w:rsid w:val="00D15A60"/>
    <w:rsid w:val="00D15ACD"/>
    <w:rsid w:val="00D164F3"/>
    <w:rsid w:val="00D16D20"/>
    <w:rsid w:val="00D16F77"/>
    <w:rsid w:val="00D170E7"/>
    <w:rsid w:val="00D175D1"/>
    <w:rsid w:val="00D1792B"/>
    <w:rsid w:val="00D17A47"/>
    <w:rsid w:val="00D17C44"/>
    <w:rsid w:val="00D17C8A"/>
    <w:rsid w:val="00D200AE"/>
    <w:rsid w:val="00D2015D"/>
    <w:rsid w:val="00D204F2"/>
    <w:rsid w:val="00D20D4E"/>
    <w:rsid w:val="00D20E9D"/>
    <w:rsid w:val="00D22363"/>
    <w:rsid w:val="00D22369"/>
    <w:rsid w:val="00D22807"/>
    <w:rsid w:val="00D23687"/>
    <w:rsid w:val="00D2555F"/>
    <w:rsid w:val="00D25C95"/>
    <w:rsid w:val="00D25D6F"/>
    <w:rsid w:val="00D261B3"/>
    <w:rsid w:val="00D2705C"/>
    <w:rsid w:val="00D30431"/>
    <w:rsid w:val="00D30433"/>
    <w:rsid w:val="00D30AD2"/>
    <w:rsid w:val="00D3176E"/>
    <w:rsid w:val="00D317B2"/>
    <w:rsid w:val="00D3223F"/>
    <w:rsid w:val="00D33636"/>
    <w:rsid w:val="00D35FB7"/>
    <w:rsid w:val="00D36186"/>
    <w:rsid w:val="00D36207"/>
    <w:rsid w:val="00D364CF"/>
    <w:rsid w:val="00D3688A"/>
    <w:rsid w:val="00D368C6"/>
    <w:rsid w:val="00D36B02"/>
    <w:rsid w:val="00D36ECA"/>
    <w:rsid w:val="00D36FC3"/>
    <w:rsid w:val="00D37304"/>
    <w:rsid w:val="00D37963"/>
    <w:rsid w:val="00D379AA"/>
    <w:rsid w:val="00D37E69"/>
    <w:rsid w:val="00D403F9"/>
    <w:rsid w:val="00D40750"/>
    <w:rsid w:val="00D40B7C"/>
    <w:rsid w:val="00D40BCE"/>
    <w:rsid w:val="00D416A5"/>
    <w:rsid w:val="00D42C04"/>
    <w:rsid w:val="00D42EBA"/>
    <w:rsid w:val="00D43659"/>
    <w:rsid w:val="00D43FD0"/>
    <w:rsid w:val="00D444C7"/>
    <w:rsid w:val="00D445B6"/>
    <w:rsid w:val="00D447B5"/>
    <w:rsid w:val="00D448FF"/>
    <w:rsid w:val="00D44A28"/>
    <w:rsid w:val="00D45B1E"/>
    <w:rsid w:val="00D460AB"/>
    <w:rsid w:val="00D461CE"/>
    <w:rsid w:val="00D462C9"/>
    <w:rsid w:val="00D465EF"/>
    <w:rsid w:val="00D46703"/>
    <w:rsid w:val="00D47381"/>
    <w:rsid w:val="00D51016"/>
    <w:rsid w:val="00D51414"/>
    <w:rsid w:val="00D5187A"/>
    <w:rsid w:val="00D51C25"/>
    <w:rsid w:val="00D5394F"/>
    <w:rsid w:val="00D53A40"/>
    <w:rsid w:val="00D53F1B"/>
    <w:rsid w:val="00D546F0"/>
    <w:rsid w:val="00D553A8"/>
    <w:rsid w:val="00D557E4"/>
    <w:rsid w:val="00D558B0"/>
    <w:rsid w:val="00D55973"/>
    <w:rsid w:val="00D55E46"/>
    <w:rsid w:val="00D565A2"/>
    <w:rsid w:val="00D56693"/>
    <w:rsid w:val="00D56F17"/>
    <w:rsid w:val="00D60388"/>
    <w:rsid w:val="00D6186B"/>
    <w:rsid w:val="00D618D5"/>
    <w:rsid w:val="00D61DFD"/>
    <w:rsid w:val="00D62669"/>
    <w:rsid w:val="00D62739"/>
    <w:rsid w:val="00D62E09"/>
    <w:rsid w:val="00D6344D"/>
    <w:rsid w:val="00D64173"/>
    <w:rsid w:val="00D64734"/>
    <w:rsid w:val="00D64D5A"/>
    <w:rsid w:val="00D65503"/>
    <w:rsid w:val="00D6554D"/>
    <w:rsid w:val="00D656F6"/>
    <w:rsid w:val="00D65CE1"/>
    <w:rsid w:val="00D65F82"/>
    <w:rsid w:val="00D662C4"/>
    <w:rsid w:val="00D663B9"/>
    <w:rsid w:val="00D66D3C"/>
    <w:rsid w:val="00D672E7"/>
    <w:rsid w:val="00D678C0"/>
    <w:rsid w:val="00D67A1C"/>
    <w:rsid w:val="00D67E32"/>
    <w:rsid w:val="00D70BCF"/>
    <w:rsid w:val="00D70D20"/>
    <w:rsid w:val="00D70F04"/>
    <w:rsid w:val="00D71D52"/>
    <w:rsid w:val="00D71DB9"/>
    <w:rsid w:val="00D7211C"/>
    <w:rsid w:val="00D723CD"/>
    <w:rsid w:val="00D7252F"/>
    <w:rsid w:val="00D72608"/>
    <w:rsid w:val="00D731BE"/>
    <w:rsid w:val="00D734F0"/>
    <w:rsid w:val="00D73BF2"/>
    <w:rsid w:val="00D747F7"/>
    <w:rsid w:val="00D769F2"/>
    <w:rsid w:val="00D76DA4"/>
    <w:rsid w:val="00D77265"/>
    <w:rsid w:val="00D80150"/>
    <w:rsid w:val="00D80264"/>
    <w:rsid w:val="00D817CF"/>
    <w:rsid w:val="00D828AA"/>
    <w:rsid w:val="00D82A3D"/>
    <w:rsid w:val="00D82DCA"/>
    <w:rsid w:val="00D836A4"/>
    <w:rsid w:val="00D837D0"/>
    <w:rsid w:val="00D83921"/>
    <w:rsid w:val="00D83A33"/>
    <w:rsid w:val="00D84997"/>
    <w:rsid w:val="00D84B90"/>
    <w:rsid w:val="00D84C5E"/>
    <w:rsid w:val="00D85078"/>
    <w:rsid w:val="00D85CBF"/>
    <w:rsid w:val="00D85E0F"/>
    <w:rsid w:val="00D85F86"/>
    <w:rsid w:val="00D86DEE"/>
    <w:rsid w:val="00D904AD"/>
    <w:rsid w:val="00D90A9F"/>
    <w:rsid w:val="00D90B5E"/>
    <w:rsid w:val="00D90C9A"/>
    <w:rsid w:val="00D90D6D"/>
    <w:rsid w:val="00D91785"/>
    <w:rsid w:val="00D921C2"/>
    <w:rsid w:val="00D94330"/>
    <w:rsid w:val="00D947AB"/>
    <w:rsid w:val="00D94F01"/>
    <w:rsid w:val="00D950BC"/>
    <w:rsid w:val="00D95E52"/>
    <w:rsid w:val="00D96238"/>
    <w:rsid w:val="00D9699C"/>
    <w:rsid w:val="00D96ABF"/>
    <w:rsid w:val="00D97196"/>
    <w:rsid w:val="00D97284"/>
    <w:rsid w:val="00D9734B"/>
    <w:rsid w:val="00DA1260"/>
    <w:rsid w:val="00DA13CA"/>
    <w:rsid w:val="00DA1DC0"/>
    <w:rsid w:val="00DA54AE"/>
    <w:rsid w:val="00DA5566"/>
    <w:rsid w:val="00DA5A38"/>
    <w:rsid w:val="00DA5CC1"/>
    <w:rsid w:val="00DA61A1"/>
    <w:rsid w:val="00DA6FE9"/>
    <w:rsid w:val="00DA6FF1"/>
    <w:rsid w:val="00DA7365"/>
    <w:rsid w:val="00DB03F5"/>
    <w:rsid w:val="00DB0D4C"/>
    <w:rsid w:val="00DB11D8"/>
    <w:rsid w:val="00DB1889"/>
    <w:rsid w:val="00DB19D5"/>
    <w:rsid w:val="00DB1BE7"/>
    <w:rsid w:val="00DB2215"/>
    <w:rsid w:val="00DB270F"/>
    <w:rsid w:val="00DB2DAA"/>
    <w:rsid w:val="00DB3497"/>
    <w:rsid w:val="00DB3834"/>
    <w:rsid w:val="00DB3E3C"/>
    <w:rsid w:val="00DB3FC2"/>
    <w:rsid w:val="00DB407A"/>
    <w:rsid w:val="00DB4326"/>
    <w:rsid w:val="00DB4B2C"/>
    <w:rsid w:val="00DB4F86"/>
    <w:rsid w:val="00DB661B"/>
    <w:rsid w:val="00DB6C7A"/>
    <w:rsid w:val="00DC1D56"/>
    <w:rsid w:val="00DC2D1A"/>
    <w:rsid w:val="00DC32B9"/>
    <w:rsid w:val="00DC350E"/>
    <w:rsid w:val="00DC358B"/>
    <w:rsid w:val="00DC35AA"/>
    <w:rsid w:val="00DC37EB"/>
    <w:rsid w:val="00DC3E97"/>
    <w:rsid w:val="00DC44E4"/>
    <w:rsid w:val="00DC473A"/>
    <w:rsid w:val="00DC47C9"/>
    <w:rsid w:val="00DC58D8"/>
    <w:rsid w:val="00DC5914"/>
    <w:rsid w:val="00DC5AFE"/>
    <w:rsid w:val="00DC6693"/>
    <w:rsid w:val="00DC66DF"/>
    <w:rsid w:val="00DC74F3"/>
    <w:rsid w:val="00DC76CE"/>
    <w:rsid w:val="00DD10A2"/>
    <w:rsid w:val="00DD1297"/>
    <w:rsid w:val="00DD148D"/>
    <w:rsid w:val="00DD1A82"/>
    <w:rsid w:val="00DD1CA7"/>
    <w:rsid w:val="00DD1DE5"/>
    <w:rsid w:val="00DD27FE"/>
    <w:rsid w:val="00DD3F28"/>
    <w:rsid w:val="00DD4575"/>
    <w:rsid w:val="00DD5034"/>
    <w:rsid w:val="00DD5324"/>
    <w:rsid w:val="00DD565E"/>
    <w:rsid w:val="00DD57E6"/>
    <w:rsid w:val="00DD5B60"/>
    <w:rsid w:val="00DD637E"/>
    <w:rsid w:val="00DD6427"/>
    <w:rsid w:val="00DD6524"/>
    <w:rsid w:val="00DD7B77"/>
    <w:rsid w:val="00DE032D"/>
    <w:rsid w:val="00DE0A86"/>
    <w:rsid w:val="00DE1770"/>
    <w:rsid w:val="00DE191E"/>
    <w:rsid w:val="00DE28EC"/>
    <w:rsid w:val="00DE3093"/>
    <w:rsid w:val="00DE37B6"/>
    <w:rsid w:val="00DE3866"/>
    <w:rsid w:val="00DE3DA8"/>
    <w:rsid w:val="00DE4E3A"/>
    <w:rsid w:val="00DE51BD"/>
    <w:rsid w:val="00DE565C"/>
    <w:rsid w:val="00DE5897"/>
    <w:rsid w:val="00DE5CEB"/>
    <w:rsid w:val="00DE5F03"/>
    <w:rsid w:val="00DE71B8"/>
    <w:rsid w:val="00DE726C"/>
    <w:rsid w:val="00DE79AC"/>
    <w:rsid w:val="00DF13DC"/>
    <w:rsid w:val="00DF1E16"/>
    <w:rsid w:val="00DF2546"/>
    <w:rsid w:val="00DF35E0"/>
    <w:rsid w:val="00DF5155"/>
    <w:rsid w:val="00DF5592"/>
    <w:rsid w:val="00DF5847"/>
    <w:rsid w:val="00DF5D25"/>
    <w:rsid w:val="00DF5E13"/>
    <w:rsid w:val="00DF5F8B"/>
    <w:rsid w:val="00DF6095"/>
    <w:rsid w:val="00DF6AB3"/>
    <w:rsid w:val="00DF6F58"/>
    <w:rsid w:val="00DF744C"/>
    <w:rsid w:val="00DF7677"/>
    <w:rsid w:val="00E003EC"/>
    <w:rsid w:val="00E00503"/>
    <w:rsid w:val="00E005F7"/>
    <w:rsid w:val="00E00D38"/>
    <w:rsid w:val="00E01277"/>
    <w:rsid w:val="00E0141D"/>
    <w:rsid w:val="00E019CE"/>
    <w:rsid w:val="00E01D32"/>
    <w:rsid w:val="00E022D0"/>
    <w:rsid w:val="00E024EC"/>
    <w:rsid w:val="00E0297C"/>
    <w:rsid w:val="00E033AF"/>
    <w:rsid w:val="00E03A01"/>
    <w:rsid w:val="00E03BC8"/>
    <w:rsid w:val="00E03F1F"/>
    <w:rsid w:val="00E04182"/>
    <w:rsid w:val="00E04ABF"/>
    <w:rsid w:val="00E06107"/>
    <w:rsid w:val="00E068CA"/>
    <w:rsid w:val="00E068FF"/>
    <w:rsid w:val="00E06B61"/>
    <w:rsid w:val="00E0718E"/>
    <w:rsid w:val="00E101FE"/>
    <w:rsid w:val="00E1073B"/>
    <w:rsid w:val="00E10D48"/>
    <w:rsid w:val="00E10E38"/>
    <w:rsid w:val="00E1172F"/>
    <w:rsid w:val="00E11C8C"/>
    <w:rsid w:val="00E1236E"/>
    <w:rsid w:val="00E1237A"/>
    <w:rsid w:val="00E12445"/>
    <w:rsid w:val="00E12453"/>
    <w:rsid w:val="00E12F3A"/>
    <w:rsid w:val="00E130AA"/>
    <w:rsid w:val="00E1477B"/>
    <w:rsid w:val="00E148B2"/>
    <w:rsid w:val="00E15588"/>
    <w:rsid w:val="00E1573C"/>
    <w:rsid w:val="00E15F18"/>
    <w:rsid w:val="00E166C9"/>
    <w:rsid w:val="00E1680A"/>
    <w:rsid w:val="00E172FF"/>
    <w:rsid w:val="00E17A02"/>
    <w:rsid w:val="00E17A56"/>
    <w:rsid w:val="00E20A3A"/>
    <w:rsid w:val="00E211F1"/>
    <w:rsid w:val="00E21265"/>
    <w:rsid w:val="00E21D3F"/>
    <w:rsid w:val="00E22569"/>
    <w:rsid w:val="00E235AC"/>
    <w:rsid w:val="00E23896"/>
    <w:rsid w:val="00E23AF6"/>
    <w:rsid w:val="00E24E81"/>
    <w:rsid w:val="00E25325"/>
    <w:rsid w:val="00E25C76"/>
    <w:rsid w:val="00E25DC8"/>
    <w:rsid w:val="00E262E3"/>
    <w:rsid w:val="00E2680C"/>
    <w:rsid w:val="00E2685C"/>
    <w:rsid w:val="00E26B3E"/>
    <w:rsid w:val="00E27325"/>
    <w:rsid w:val="00E279AE"/>
    <w:rsid w:val="00E30487"/>
    <w:rsid w:val="00E328B3"/>
    <w:rsid w:val="00E32B91"/>
    <w:rsid w:val="00E33201"/>
    <w:rsid w:val="00E332B5"/>
    <w:rsid w:val="00E33954"/>
    <w:rsid w:val="00E33D27"/>
    <w:rsid w:val="00E347D3"/>
    <w:rsid w:val="00E370D8"/>
    <w:rsid w:val="00E372B4"/>
    <w:rsid w:val="00E37A95"/>
    <w:rsid w:val="00E429CB"/>
    <w:rsid w:val="00E42FDD"/>
    <w:rsid w:val="00E43935"/>
    <w:rsid w:val="00E4413B"/>
    <w:rsid w:val="00E44235"/>
    <w:rsid w:val="00E44AD5"/>
    <w:rsid w:val="00E44B19"/>
    <w:rsid w:val="00E45030"/>
    <w:rsid w:val="00E455AC"/>
    <w:rsid w:val="00E45620"/>
    <w:rsid w:val="00E45623"/>
    <w:rsid w:val="00E45C91"/>
    <w:rsid w:val="00E45E4F"/>
    <w:rsid w:val="00E45E90"/>
    <w:rsid w:val="00E46052"/>
    <w:rsid w:val="00E462B8"/>
    <w:rsid w:val="00E472FF"/>
    <w:rsid w:val="00E47317"/>
    <w:rsid w:val="00E4756A"/>
    <w:rsid w:val="00E477B4"/>
    <w:rsid w:val="00E47C47"/>
    <w:rsid w:val="00E47CCE"/>
    <w:rsid w:val="00E508AF"/>
    <w:rsid w:val="00E50F59"/>
    <w:rsid w:val="00E51713"/>
    <w:rsid w:val="00E524C7"/>
    <w:rsid w:val="00E52ACF"/>
    <w:rsid w:val="00E53664"/>
    <w:rsid w:val="00E540D6"/>
    <w:rsid w:val="00E54AA8"/>
    <w:rsid w:val="00E55B12"/>
    <w:rsid w:val="00E5634E"/>
    <w:rsid w:val="00E57376"/>
    <w:rsid w:val="00E57751"/>
    <w:rsid w:val="00E5786A"/>
    <w:rsid w:val="00E57C51"/>
    <w:rsid w:val="00E60459"/>
    <w:rsid w:val="00E62451"/>
    <w:rsid w:val="00E62D44"/>
    <w:rsid w:val="00E62EA9"/>
    <w:rsid w:val="00E62F68"/>
    <w:rsid w:val="00E635EF"/>
    <w:rsid w:val="00E63855"/>
    <w:rsid w:val="00E63B9B"/>
    <w:rsid w:val="00E63BE2"/>
    <w:rsid w:val="00E63D1A"/>
    <w:rsid w:val="00E63FE2"/>
    <w:rsid w:val="00E64488"/>
    <w:rsid w:val="00E6474B"/>
    <w:rsid w:val="00E64BD7"/>
    <w:rsid w:val="00E64F8F"/>
    <w:rsid w:val="00E654DC"/>
    <w:rsid w:val="00E65DDD"/>
    <w:rsid w:val="00E6631A"/>
    <w:rsid w:val="00E66DEB"/>
    <w:rsid w:val="00E67465"/>
    <w:rsid w:val="00E67B1B"/>
    <w:rsid w:val="00E70934"/>
    <w:rsid w:val="00E70E71"/>
    <w:rsid w:val="00E71960"/>
    <w:rsid w:val="00E719A9"/>
    <w:rsid w:val="00E71CB4"/>
    <w:rsid w:val="00E71EF9"/>
    <w:rsid w:val="00E73196"/>
    <w:rsid w:val="00E731D5"/>
    <w:rsid w:val="00E739B5"/>
    <w:rsid w:val="00E73E07"/>
    <w:rsid w:val="00E73EFB"/>
    <w:rsid w:val="00E74145"/>
    <w:rsid w:val="00E74742"/>
    <w:rsid w:val="00E74773"/>
    <w:rsid w:val="00E74EE3"/>
    <w:rsid w:val="00E75002"/>
    <w:rsid w:val="00E75D57"/>
    <w:rsid w:val="00E76595"/>
    <w:rsid w:val="00E8179E"/>
    <w:rsid w:val="00E81EF3"/>
    <w:rsid w:val="00E82524"/>
    <w:rsid w:val="00E82560"/>
    <w:rsid w:val="00E82CA7"/>
    <w:rsid w:val="00E83074"/>
    <w:rsid w:val="00E832FC"/>
    <w:rsid w:val="00E833F3"/>
    <w:rsid w:val="00E8384D"/>
    <w:rsid w:val="00E84208"/>
    <w:rsid w:val="00E847D4"/>
    <w:rsid w:val="00E848A8"/>
    <w:rsid w:val="00E85803"/>
    <w:rsid w:val="00E85881"/>
    <w:rsid w:val="00E85DE6"/>
    <w:rsid w:val="00E85E6D"/>
    <w:rsid w:val="00E87151"/>
    <w:rsid w:val="00E873B3"/>
    <w:rsid w:val="00E875FE"/>
    <w:rsid w:val="00E8787A"/>
    <w:rsid w:val="00E87D35"/>
    <w:rsid w:val="00E87FA4"/>
    <w:rsid w:val="00E904EF"/>
    <w:rsid w:val="00E906B3"/>
    <w:rsid w:val="00E908F9"/>
    <w:rsid w:val="00E90ED3"/>
    <w:rsid w:val="00E917F1"/>
    <w:rsid w:val="00E9197A"/>
    <w:rsid w:val="00E91A41"/>
    <w:rsid w:val="00E92154"/>
    <w:rsid w:val="00E924C7"/>
    <w:rsid w:val="00E935EF"/>
    <w:rsid w:val="00E939BA"/>
    <w:rsid w:val="00E93BD7"/>
    <w:rsid w:val="00E9413C"/>
    <w:rsid w:val="00E94688"/>
    <w:rsid w:val="00E94A74"/>
    <w:rsid w:val="00E96555"/>
    <w:rsid w:val="00E96AE0"/>
    <w:rsid w:val="00E96C0F"/>
    <w:rsid w:val="00E97924"/>
    <w:rsid w:val="00EA05F9"/>
    <w:rsid w:val="00EA0894"/>
    <w:rsid w:val="00EA0EB9"/>
    <w:rsid w:val="00EA0EBA"/>
    <w:rsid w:val="00EA1399"/>
    <w:rsid w:val="00EA160C"/>
    <w:rsid w:val="00EA172E"/>
    <w:rsid w:val="00EA1FEC"/>
    <w:rsid w:val="00EA23A9"/>
    <w:rsid w:val="00EA2A27"/>
    <w:rsid w:val="00EA2DE9"/>
    <w:rsid w:val="00EA2FFF"/>
    <w:rsid w:val="00EA3F55"/>
    <w:rsid w:val="00EA4E1B"/>
    <w:rsid w:val="00EA5028"/>
    <w:rsid w:val="00EA55D4"/>
    <w:rsid w:val="00EA6300"/>
    <w:rsid w:val="00EA64C1"/>
    <w:rsid w:val="00EA65B3"/>
    <w:rsid w:val="00EA695C"/>
    <w:rsid w:val="00EA6A37"/>
    <w:rsid w:val="00EA6CF2"/>
    <w:rsid w:val="00EA75A0"/>
    <w:rsid w:val="00EA7DD8"/>
    <w:rsid w:val="00EA7FB6"/>
    <w:rsid w:val="00EB08D7"/>
    <w:rsid w:val="00EB119B"/>
    <w:rsid w:val="00EB1BE9"/>
    <w:rsid w:val="00EB2441"/>
    <w:rsid w:val="00EB3490"/>
    <w:rsid w:val="00EB349B"/>
    <w:rsid w:val="00EB36C3"/>
    <w:rsid w:val="00EB37B7"/>
    <w:rsid w:val="00EB389F"/>
    <w:rsid w:val="00EB3BB9"/>
    <w:rsid w:val="00EB42F2"/>
    <w:rsid w:val="00EB445F"/>
    <w:rsid w:val="00EB4DE9"/>
    <w:rsid w:val="00EB4EB9"/>
    <w:rsid w:val="00EB4EC8"/>
    <w:rsid w:val="00EB556D"/>
    <w:rsid w:val="00EB5C2D"/>
    <w:rsid w:val="00EB6A09"/>
    <w:rsid w:val="00EB6AE6"/>
    <w:rsid w:val="00EB6BA7"/>
    <w:rsid w:val="00EB7EC8"/>
    <w:rsid w:val="00EC05F1"/>
    <w:rsid w:val="00EC0AD6"/>
    <w:rsid w:val="00EC1605"/>
    <w:rsid w:val="00EC2010"/>
    <w:rsid w:val="00EC20F7"/>
    <w:rsid w:val="00EC25EF"/>
    <w:rsid w:val="00EC2747"/>
    <w:rsid w:val="00EC2BD3"/>
    <w:rsid w:val="00EC380C"/>
    <w:rsid w:val="00EC51D1"/>
    <w:rsid w:val="00EC542C"/>
    <w:rsid w:val="00EC58E4"/>
    <w:rsid w:val="00EC5D69"/>
    <w:rsid w:val="00EC6538"/>
    <w:rsid w:val="00EC6738"/>
    <w:rsid w:val="00EC73A4"/>
    <w:rsid w:val="00EC78E0"/>
    <w:rsid w:val="00EC7B46"/>
    <w:rsid w:val="00ED0196"/>
    <w:rsid w:val="00ED19EE"/>
    <w:rsid w:val="00ED1C49"/>
    <w:rsid w:val="00ED2D6B"/>
    <w:rsid w:val="00ED32DC"/>
    <w:rsid w:val="00ED3C61"/>
    <w:rsid w:val="00ED3FBE"/>
    <w:rsid w:val="00ED4BB0"/>
    <w:rsid w:val="00ED6481"/>
    <w:rsid w:val="00ED7A5F"/>
    <w:rsid w:val="00EE0067"/>
    <w:rsid w:val="00EE0186"/>
    <w:rsid w:val="00EE0196"/>
    <w:rsid w:val="00EE1302"/>
    <w:rsid w:val="00EE1AA0"/>
    <w:rsid w:val="00EE1EF5"/>
    <w:rsid w:val="00EE3EB5"/>
    <w:rsid w:val="00EE3F24"/>
    <w:rsid w:val="00EE4C47"/>
    <w:rsid w:val="00EE4E85"/>
    <w:rsid w:val="00EE5D76"/>
    <w:rsid w:val="00EE60E5"/>
    <w:rsid w:val="00EE6274"/>
    <w:rsid w:val="00EE66C8"/>
    <w:rsid w:val="00EE6893"/>
    <w:rsid w:val="00EE6901"/>
    <w:rsid w:val="00EE6A19"/>
    <w:rsid w:val="00EE7890"/>
    <w:rsid w:val="00EE792D"/>
    <w:rsid w:val="00EF11E1"/>
    <w:rsid w:val="00EF14A6"/>
    <w:rsid w:val="00EF1F50"/>
    <w:rsid w:val="00EF230B"/>
    <w:rsid w:val="00EF2333"/>
    <w:rsid w:val="00EF23E1"/>
    <w:rsid w:val="00EF2727"/>
    <w:rsid w:val="00EF3006"/>
    <w:rsid w:val="00EF3326"/>
    <w:rsid w:val="00EF3ADC"/>
    <w:rsid w:val="00EF4547"/>
    <w:rsid w:val="00EF466D"/>
    <w:rsid w:val="00EF4D7A"/>
    <w:rsid w:val="00EF5596"/>
    <w:rsid w:val="00EF627A"/>
    <w:rsid w:val="00EF6A07"/>
    <w:rsid w:val="00EF741C"/>
    <w:rsid w:val="00EF74B1"/>
    <w:rsid w:val="00F00384"/>
    <w:rsid w:val="00F00611"/>
    <w:rsid w:val="00F0090C"/>
    <w:rsid w:val="00F0169D"/>
    <w:rsid w:val="00F01EE2"/>
    <w:rsid w:val="00F02447"/>
    <w:rsid w:val="00F024A0"/>
    <w:rsid w:val="00F026A9"/>
    <w:rsid w:val="00F02E69"/>
    <w:rsid w:val="00F02FF3"/>
    <w:rsid w:val="00F04F9A"/>
    <w:rsid w:val="00F05D8D"/>
    <w:rsid w:val="00F05ED4"/>
    <w:rsid w:val="00F06237"/>
    <w:rsid w:val="00F06422"/>
    <w:rsid w:val="00F06926"/>
    <w:rsid w:val="00F07199"/>
    <w:rsid w:val="00F07D6F"/>
    <w:rsid w:val="00F07FAE"/>
    <w:rsid w:val="00F10611"/>
    <w:rsid w:val="00F1080B"/>
    <w:rsid w:val="00F108B0"/>
    <w:rsid w:val="00F10A2A"/>
    <w:rsid w:val="00F10BA3"/>
    <w:rsid w:val="00F123DA"/>
    <w:rsid w:val="00F12595"/>
    <w:rsid w:val="00F1297E"/>
    <w:rsid w:val="00F12DDC"/>
    <w:rsid w:val="00F13255"/>
    <w:rsid w:val="00F13597"/>
    <w:rsid w:val="00F13821"/>
    <w:rsid w:val="00F13AA2"/>
    <w:rsid w:val="00F13DCE"/>
    <w:rsid w:val="00F1400A"/>
    <w:rsid w:val="00F141C3"/>
    <w:rsid w:val="00F143A9"/>
    <w:rsid w:val="00F144DE"/>
    <w:rsid w:val="00F14A0A"/>
    <w:rsid w:val="00F14AE6"/>
    <w:rsid w:val="00F14DE3"/>
    <w:rsid w:val="00F14EA7"/>
    <w:rsid w:val="00F14F3F"/>
    <w:rsid w:val="00F154AD"/>
    <w:rsid w:val="00F156B1"/>
    <w:rsid w:val="00F156FB"/>
    <w:rsid w:val="00F157AE"/>
    <w:rsid w:val="00F15983"/>
    <w:rsid w:val="00F17439"/>
    <w:rsid w:val="00F1752A"/>
    <w:rsid w:val="00F17E23"/>
    <w:rsid w:val="00F17EF9"/>
    <w:rsid w:val="00F21301"/>
    <w:rsid w:val="00F213D0"/>
    <w:rsid w:val="00F21EE9"/>
    <w:rsid w:val="00F2204E"/>
    <w:rsid w:val="00F22801"/>
    <w:rsid w:val="00F22DEB"/>
    <w:rsid w:val="00F22EB2"/>
    <w:rsid w:val="00F23120"/>
    <w:rsid w:val="00F23761"/>
    <w:rsid w:val="00F23850"/>
    <w:rsid w:val="00F24EB0"/>
    <w:rsid w:val="00F25501"/>
    <w:rsid w:val="00F26456"/>
    <w:rsid w:val="00F26A01"/>
    <w:rsid w:val="00F2791C"/>
    <w:rsid w:val="00F3019C"/>
    <w:rsid w:val="00F303FE"/>
    <w:rsid w:val="00F30AD6"/>
    <w:rsid w:val="00F31149"/>
    <w:rsid w:val="00F31183"/>
    <w:rsid w:val="00F31DCD"/>
    <w:rsid w:val="00F33335"/>
    <w:rsid w:val="00F33889"/>
    <w:rsid w:val="00F339C4"/>
    <w:rsid w:val="00F3464F"/>
    <w:rsid w:val="00F34DB6"/>
    <w:rsid w:val="00F369CD"/>
    <w:rsid w:val="00F375D8"/>
    <w:rsid w:val="00F4011A"/>
    <w:rsid w:val="00F4088D"/>
    <w:rsid w:val="00F40E1A"/>
    <w:rsid w:val="00F4159D"/>
    <w:rsid w:val="00F4263D"/>
    <w:rsid w:val="00F42B15"/>
    <w:rsid w:val="00F4546D"/>
    <w:rsid w:val="00F45833"/>
    <w:rsid w:val="00F4605E"/>
    <w:rsid w:val="00F4608D"/>
    <w:rsid w:val="00F461BB"/>
    <w:rsid w:val="00F46C35"/>
    <w:rsid w:val="00F4713C"/>
    <w:rsid w:val="00F474FE"/>
    <w:rsid w:val="00F4751E"/>
    <w:rsid w:val="00F479EE"/>
    <w:rsid w:val="00F47D16"/>
    <w:rsid w:val="00F47D80"/>
    <w:rsid w:val="00F50E03"/>
    <w:rsid w:val="00F51586"/>
    <w:rsid w:val="00F51594"/>
    <w:rsid w:val="00F51A82"/>
    <w:rsid w:val="00F51C69"/>
    <w:rsid w:val="00F51EE7"/>
    <w:rsid w:val="00F53180"/>
    <w:rsid w:val="00F534AA"/>
    <w:rsid w:val="00F53DFD"/>
    <w:rsid w:val="00F540C1"/>
    <w:rsid w:val="00F54127"/>
    <w:rsid w:val="00F54723"/>
    <w:rsid w:val="00F54765"/>
    <w:rsid w:val="00F54A89"/>
    <w:rsid w:val="00F54D7D"/>
    <w:rsid w:val="00F54DB4"/>
    <w:rsid w:val="00F557E3"/>
    <w:rsid w:val="00F55FED"/>
    <w:rsid w:val="00F56590"/>
    <w:rsid w:val="00F6018E"/>
    <w:rsid w:val="00F606C2"/>
    <w:rsid w:val="00F60EA7"/>
    <w:rsid w:val="00F61086"/>
    <w:rsid w:val="00F617B9"/>
    <w:rsid w:val="00F6190D"/>
    <w:rsid w:val="00F61BF9"/>
    <w:rsid w:val="00F62A66"/>
    <w:rsid w:val="00F63150"/>
    <w:rsid w:val="00F63948"/>
    <w:rsid w:val="00F639EC"/>
    <w:rsid w:val="00F64573"/>
    <w:rsid w:val="00F64C60"/>
    <w:rsid w:val="00F6521F"/>
    <w:rsid w:val="00F6563D"/>
    <w:rsid w:val="00F657B4"/>
    <w:rsid w:val="00F65E3B"/>
    <w:rsid w:val="00F66078"/>
    <w:rsid w:val="00F6681F"/>
    <w:rsid w:val="00F6687E"/>
    <w:rsid w:val="00F66D39"/>
    <w:rsid w:val="00F670D0"/>
    <w:rsid w:val="00F70397"/>
    <w:rsid w:val="00F70596"/>
    <w:rsid w:val="00F70802"/>
    <w:rsid w:val="00F70AB8"/>
    <w:rsid w:val="00F70B65"/>
    <w:rsid w:val="00F70D14"/>
    <w:rsid w:val="00F716AB"/>
    <w:rsid w:val="00F719F4"/>
    <w:rsid w:val="00F71FA9"/>
    <w:rsid w:val="00F72000"/>
    <w:rsid w:val="00F72655"/>
    <w:rsid w:val="00F72869"/>
    <w:rsid w:val="00F72C99"/>
    <w:rsid w:val="00F73520"/>
    <w:rsid w:val="00F73DA8"/>
    <w:rsid w:val="00F7432E"/>
    <w:rsid w:val="00F7459D"/>
    <w:rsid w:val="00F74DF5"/>
    <w:rsid w:val="00F75271"/>
    <w:rsid w:val="00F75315"/>
    <w:rsid w:val="00F753B4"/>
    <w:rsid w:val="00F76CA8"/>
    <w:rsid w:val="00F773EC"/>
    <w:rsid w:val="00F8050E"/>
    <w:rsid w:val="00F80EE7"/>
    <w:rsid w:val="00F814C5"/>
    <w:rsid w:val="00F82084"/>
    <w:rsid w:val="00F827CB"/>
    <w:rsid w:val="00F82E93"/>
    <w:rsid w:val="00F843BB"/>
    <w:rsid w:val="00F8442E"/>
    <w:rsid w:val="00F84815"/>
    <w:rsid w:val="00F84E35"/>
    <w:rsid w:val="00F85219"/>
    <w:rsid w:val="00F856C7"/>
    <w:rsid w:val="00F85EA6"/>
    <w:rsid w:val="00F85FF2"/>
    <w:rsid w:val="00F8621B"/>
    <w:rsid w:val="00F871C0"/>
    <w:rsid w:val="00F90241"/>
    <w:rsid w:val="00F90488"/>
    <w:rsid w:val="00F913D1"/>
    <w:rsid w:val="00F91B89"/>
    <w:rsid w:val="00F91BDE"/>
    <w:rsid w:val="00F923BA"/>
    <w:rsid w:val="00F92856"/>
    <w:rsid w:val="00F9360B"/>
    <w:rsid w:val="00F93FD2"/>
    <w:rsid w:val="00F9428A"/>
    <w:rsid w:val="00F943B0"/>
    <w:rsid w:val="00F94514"/>
    <w:rsid w:val="00F954DD"/>
    <w:rsid w:val="00F9586B"/>
    <w:rsid w:val="00F95A24"/>
    <w:rsid w:val="00F95CF7"/>
    <w:rsid w:val="00F96808"/>
    <w:rsid w:val="00F96D29"/>
    <w:rsid w:val="00F96F20"/>
    <w:rsid w:val="00F97E91"/>
    <w:rsid w:val="00FA14D1"/>
    <w:rsid w:val="00FA15DE"/>
    <w:rsid w:val="00FA1B64"/>
    <w:rsid w:val="00FA2670"/>
    <w:rsid w:val="00FA2764"/>
    <w:rsid w:val="00FA2B5E"/>
    <w:rsid w:val="00FA2CB5"/>
    <w:rsid w:val="00FA2FBD"/>
    <w:rsid w:val="00FA3134"/>
    <w:rsid w:val="00FA3CE8"/>
    <w:rsid w:val="00FA3FBA"/>
    <w:rsid w:val="00FA40C9"/>
    <w:rsid w:val="00FA40E8"/>
    <w:rsid w:val="00FA5489"/>
    <w:rsid w:val="00FA560C"/>
    <w:rsid w:val="00FA5654"/>
    <w:rsid w:val="00FA5693"/>
    <w:rsid w:val="00FA5AC2"/>
    <w:rsid w:val="00FA5B83"/>
    <w:rsid w:val="00FA6E0D"/>
    <w:rsid w:val="00FA7AA4"/>
    <w:rsid w:val="00FB025A"/>
    <w:rsid w:val="00FB08F9"/>
    <w:rsid w:val="00FB156C"/>
    <w:rsid w:val="00FB1D03"/>
    <w:rsid w:val="00FB225B"/>
    <w:rsid w:val="00FB24A9"/>
    <w:rsid w:val="00FB2B39"/>
    <w:rsid w:val="00FB2BE7"/>
    <w:rsid w:val="00FB45DF"/>
    <w:rsid w:val="00FB47ED"/>
    <w:rsid w:val="00FB4D3D"/>
    <w:rsid w:val="00FB50FD"/>
    <w:rsid w:val="00FB5C7D"/>
    <w:rsid w:val="00FB5E4F"/>
    <w:rsid w:val="00FB6262"/>
    <w:rsid w:val="00FB6CEE"/>
    <w:rsid w:val="00FC18A7"/>
    <w:rsid w:val="00FC1C78"/>
    <w:rsid w:val="00FC235B"/>
    <w:rsid w:val="00FC313B"/>
    <w:rsid w:val="00FC315F"/>
    <w:rsid w:val="00FC3274"/>
    <w:rsid w:val="00FC4137"/>
    <w:rsid w:val="00FC6114"/>
    <w:rsid w:val="00FC6861"/>
    <w:rsid w:val="00FC6DBE"/>
    <w:rsid w:val="00FC6E22"/>
    <w:rsid w:val="00FC7626"/>
    <w:rsid w:val="00FC7B7B"/>
    <w:rsid w:val="00FD0744"/>
    <w:rsid w:val="00FD081F"/>
    <w:rsid w:val="00FD1AE9"/>
    <w:rsid w:val="00FD1BCE"/>
    <w:rsid w:val="00FD1C25"/>
    <w:rsid w:val="00FD1C7A"/>
    <w:rsid w:val="00FD1C95"/>
    <w:rsid w:val="00FD27B8"/>
    <w:rsid w:val="00FD4838"/>
    <w:rsid w:val="00FD58B1"/>
    <w:rsid w:val="00FD5D9F"/>
    <w:rsid w:val="00FD6C29"/>
    <w:rsid w:val="00FD7F40"/>
    <w:rsid w:val="00FE0DE2"/>
    <w:rsid w:val="00FE100A"/>
    <w:rsid w:val="00FE19D3"/>
    <w:rsid w:val="00FE2153"/>
    <w:rsid w:val="00FE22C9"/>
    <w:rsid w:val="00FE3529"/>
    <w:rsid w:val="00FE39E8"/>
    <w:rsid w:val="00FE4DB0"/>
    <w:rsid w:val="00FE4EF1"/>
    <w:rsid w:val="00FE4F07"/>
    <w:rsid w:val="00FE65E0"/>
    <w:rsid w:val="00FE6C6B"/>
    <w:rsid w:val="00FE6EBB"/>
    <w:rsid w:val="00FE7712"/>
    <w:rsid w:val="00FE77FA"/>
    <w:rsid w:val="00FF0057"/>
    <w:rsid w:val="00FF0407"/>
    <w:rsid w:val="00FF0438"/>
    <w:rsid w:val="00FF084F"/>
    <w:rsid w:val="00FF1014"/>
    <w:rsid w:val="00FF1301"/>
    <w:rsid w:val="00FF15ED"/>
    <w:rsid w:val="00FF177D"/>
    <w:rsid w:val="00FF1C0C"/>
    <w:rsid w:val="00FF2923"/>
    <w:rsid w:val="00FF36E9"/>
    <w:rsid w:val="00FF3A6F"/>
    <w:rsid w:val="00FF3E56"/>
    <w:rsid w:val="00FF3F0C"/>
    <w:rsid w:val="00FF4253"/>
    <w:rsid w:val="00FF47B5"/>
    <w:rsid w:val="00FF4DBE"/>
    <w:rsid w:val="00FF55A8"/>
    <w:rsid w:val="00FF7057"/>
    <w:rsid w:val="00FF7313"/>
    <w:rsid w:val="00FF769A"/>
    <w:rsid w:val="00FF7967"/>
    <w:rsid w:val="00FF7AE9"/>
    <w:rsid w:val="00FF7CD2"/>
    <w:rsid w:val="00FF7D17"/>
    <w:rsid w:val="0B482785"/>
    <w:rsid w:val="0B691F63"/>
    <w:rsid w:val="0D6E1212"/>
    <w:rsid w:val="0FE66303"/>
    <w:rsid w:val="10EC1907"/>
    <w:rsid w:val="118941DD"/>
    <w:rsid w:val="14906C3A"/>
    <w:rsid w:val="188E343C"/>
    <w:rsid w:val="1A0F2E46"/>
    <w:rsid w:val="1A7B5474"/>
    <w:rsid w:val="1ADC35FF"/>
    <w:rsid w:val="1B191D40"/>
    <w:rsid w:val="1B5C65F5"/>
    <w:rsid w:val="1CA933E3"/>
    <w:rsid w:val="1D6A6B03"/>
    <w:rsid w:val="1F3F717B"/>
    <w:rsid w:val="200F2A33"/>
    <w:rsid w:val="209D500D"/>
    <w:rsid w:val="22235301"/>
    <w:rsid w:val="23E17E15"/>
    <w:rsid w:val="253A52CB"/>
    <w:rsid w:val="25A90CE3"/>
    <w:rsid w:val="27274349"/>
    <w:rsid w:val="27724569"/>
    <w:rsid w:val="286B36EC"/>
    <w:rsid w:val="290B2C91"/>
    <w:rsid w:val="29E654F0"/>
    <w:rsid w:val="2ABF567B"/>
    <w:rsid w:val="2BAB6F63"/>
    <w:rsid w:val="2FF91298"/>
    <w:rsid w:val="3215025C"/>
    <w:rsid w:val="326C7DFA"/>
    <w:rsid w:val="32FB6A4B"/>
    <w:rsid w:val="34BD72BA"/>
    <w:rsid w:val="374F1A3A"/>
    <w:rsid w:val="38C9302B"/>
    <w:rsid w:val="3A705D47"/>
    <w:rsid w:val="3CFF3DE4"/>
    <w:rsid w:val="3D17727C"/>
    <w:rsid w:val="3D882290"/>
    <w:rsid w:val="3FB95948"/>
    <w:rsid w:val="41D579C9"/>
    <w:rsid w:val="422812DB"/>
    <w:rsid w:val="46D26E70"/>
    <w:rsid w:val="482C2BBD"/>
    <w:rsid w:val="4A407664"/>
    <w:rsid w:val="4B125A0B"/>
    <w:rsid w:val="4B9601BB"/>
    <w:rsid w:val="4D344524"/>
    <w:rsid w:val="4D4B466D"/>
    <w:rsid w:val="527F14F2"/>
    <w:rsid w:val="53883D59"/>
    <w:rsid w:val="547074EC"/>
    <w:rsid w:val="55604164"/>
    <w:rsid w:val="56A13769"/>
    <w:rsid w:val="5716281C"/>
    <w:rsid w:val="5A8A5976"/>
    <w:rsid w:val="5B5762AD"/>
    <w:rsid w:val="5C1B33EE"/>
    <w:rsid w:val="5D724A14"/>
    <w:rsid w:val="5D7A771F"/>
    <w:rsid w:val="5F8E6862"/>
    <w:rsid w:val="601A76B8"/>
    <w:rsid w:val="641E02C5"/>
    <w:rsid w:val="664B69E6"/>
    <w:rsid w:val="67047F89"/>
    <w:rsid w:val="6A3736DB"/>
    <w:rsid w:val="6C7A1A1D"/>
    <w:rsid w:val="6C861C23"/>
    <w:rsid w:val="6ECD1659"/>
    <w:rsid w:val="729F35A7"/>
    <w:rsid w:val="73244E07"/>
    <w:rsid w:val="751A3573"/>
    <w:rsid w:val="75546EDC"/>
    <w:rsid w:val="75E94623"/>
    <w:rsid w:val="763517A8"/>
    <w:rsid w:val="794A7246"/>
    <w:rsid w:val="7C340749"/>
    <w:rsid w:val="7C3C2CCD"/>
    <w:rsid w:val="7D2B29B8"/>
    <w:rsid w:val="7DCE793B"/>
    <w:rsid w:val="7EFE0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semiHidden/>
    <w:unhideWhenUsed/>
    <w:qFormat/>
    <w:uiPriority w:val="99"/>
    <w:pPr>
      <w:jc w:val="left"/>
    </w:pPr>
  </w:style>
  <w:style w:type="paragraph" w:styleId="6">
    <w:name w:val="Balloon Text"/>
    <w:basedOn w:val="1"/>
    <w:link w:val="27"/>
    <w:semiHidden/>
    <w:unhideWhenUsed/>
    <w:qFormat/>
    <w:uiPriority w:val="99"/>
    <w:rPr>
      <w:sz w:val="18"/>
      <w:szCs w:val="18"/>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19"/>
    <w:unhideWhenUsed/>
    <w:qFormat/>
    <w:uiPriority w:val="99"/>
    <w:pPr>
      <w:snapToGrid w:val="0"/>
      <w:jc w:val="left"/>
    </w:pPr>
    <w:rPr>
      <w:sz w:val="18"/>
      <w:szCs w:val="18"/>
    </w:rPr>
  </w:style>
  <w:style w:type="paragraph" w:styleId="10">
    <w:name w:val="Normal (Web)"/>
    <w:basedOn w:val="1"/>
    <w:semiHidden/>
    <w:unhideWhenUsed/>
    <w:qFormat/>
    <w:uiPriority w:val="99"/>
    <w:rPr>
      <w:rFonts w:ascii="Times New Roman" w:hAnsi="Times New Roman" w:cs="Times New Roman"/>
      <w:sz w:val="24"/>
      <w:szCs w:val="24"/>
    </w:rPr>
  </w:style>
  <w:style w:type="paragraph" w:styleId="11">
    <w:name w:val="annotation subject"/>
    <w:basedOn w:val="5"/>
    <w:next w:val="5"/>
    <w:link w:val="30"/>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unhideWhenUsed/>
    <w:qFormat/>
    <w:uiPriority w:val="99"/>
    <w:rPr>
      <w:color w:val="800080" w:themeColor="followedHyperlink"/>
      <w:u w:val="single"/>
      <w14:textFill>
        <w14:solidFill>
          <w14:schemeClr w14:val="folHlink"/>
        </w14:solidFill>
      </w14:textFill>
    </w:rPr>
  </w:style>
  <w:style w:type="character" w:styleId="16">
    <w:name w:val="Hyperlink"/>
    <w:basedOn w:val="14"/>
    <w:unhideWhenUsed/>
    <w:qFormat/>
    <w:uiPriority w:val="99"/>
    <w:rPr>
      <w:color w:val="0000FF"/>
      <w:u w:val="single"/>
    </w:rPr>
  </w:style>
  <w:style w:type="character" w:styleId="17">
    <w:name w:val="annotation reference"/>
    <w:basedOn w:val="14"/>
    <w:semiHidden/>
    <w:unhideWhenUsed/>
    <w:qFormat/>
    <w:uiPriority w:val="99"/>
    <w:rPr>
      <w:sz w:val="21"/>
      <w:szCs w:val="21"/>
    </w:rPr>
  </w:style>
  <w:style w:type="character" w:styleId="18">
    <w:name w:val="footnote reference"/>
    <w:basedOn w:val="14"/>
    <w:unhideWhenUsed/>
    <w:qFormat/>
    <w:uiPriority w:val="99"/>
    <w:rPr>
      <w:vertAlign w:val="superscript"/>
    </w:rPr>
  </w:style>
  <w:style w:type="character" w:customStyle="1" w:styleId="19">
    <w:name w:val="脚注文本 字符"/>
    <w:basedOn w:val="14"/>
    <w:link w:val="9"/>
    <w:qFormat/>
    <w:uiPriority w:val="99"/>
    <w:rPr>
      <w:sz w:val="18"/>
      <w:szCs w:val="18"/>
    </w:rPr>
  </w:style>
  <w:style w:type="character" w:customStyle="1" w:styleId="20">
    <w:name w:val="页眉 字符"/>
    <w:basedOn w:val="14"/>
    <w:link w:val="8"/>
    <w:qFormat/>
    <w:uiPriority w:val="99"/>
    <w:rPr>
      <w:sz w:val="18"/>
      <w:szCs w:val="18"/>
    </w:rPr>
  </w:style>
  <w:style w:type="character" w:customStyle="1" w:styleId="21">
    <w:name w:val="页脚 字符"/>
    <w:basedOn w:val="14"/>
    <w:link w:val="7"/>
    <w:qFormat/>
    <w:uiPriority w:val="99"/>
    <w:rPr>
      <w:sz w:val="18"/>
      <w:szCs w:val="18"/>
    </w:rPr>
  </w:style>
  <w:style w:type="paragraph" w:styleId="22">
    <w:name w:val="List Paragraph"/>
    <w:basedOn w:val="1"/>
    <w:qFormat/>
    <w:uiPriority w:val="34"/>
    <w:pPr>
      <w:ind w:firstLine="420" w:firstLineChars="200"/>
    </w:pPr>
  </w:style>
  <w:style w:type="table" w:customStyle="1" w:styleId="23">
    <w:name w:val="网格型1"/>
    <w:basedOn w:val="12"/>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网格型2"/>
    <w:basedOn w:val="12"/>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标题 1 字符"/>
    <w:basedOn w:val="14"/>
    <w:link w:val="2"/>
    <w:qFormat/>
    <w:uiPriority w:val="9"/>
    <w:rPr>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sz w:val="32"/>
      <w:szCs w:val="32"/>
    </w:rPr>
  </w:style>
  <w:style w:type="character" w:customStyle="1" w:styleId="27">
    <w:name w:val="批注框文本 字符"/>
    <w:basedOn w:val="14"/>
    <w:link w:val="6"/>
    <w:semiHidden/>
    <w:qFormat/>
    <w:uiPriority w:val="99"/>
    <w:rPr>
      <w:kern w:val="2"/>
      <w:sz w:val="18"/>
      <w:szCs w:val="18"/>
    </w:rPr>
  </w:style>
  <w:style w:type="table" w:customStyle="1" w:styleId="28">
    <w:name w:val="网格型3"/>
    <w:basedOn w:val="12"/>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
    <w:name w:val="批注文字 字符"/>
    <w:basedOn w:val="14"/>
    <w:link w:val="5"/>
    <w:semiHidden/>
    <w:qFormat/>
    <w:uiPriority w:val="99"/>
    <w:rPr>
      <w:kern w:val="2"/>
      <w:sz w:val="21"/>
      <w:szCs w:val="22"/>
    </w:rPr>
  </w:style>
  <w:style w:type="character" w:customStyle="1" w:styleId="30">
    <w:name w:val="批注主题 字符"/>
    <w:basedOn w:val="29"/>
    <w:link w:val="11"/>
    <w:semiHidden/>
    <w:qFormat/>
    <w:uiPriority w:val="99"/>
    <w:rPr>
      <w:b/>
      <w:bCs/>
      <w:kern w:val="2"/>
      <w:sz w:val="21"/>
      <w:szCs w:val="22"/>
    </w:rPr>
  </w:style>
  <w:style w:type="character" w:customStyle="1" w:styleId="31">
    <w:name w:val="标题 3 字符"/>
    <w:basedOn w:val="14"/>
    <w:link w:val="4"/>
    <w:semiHidden/>
    <w:qFormat/>
    <w:uiPriority w:val="9"/>
    <w:rPr>
      <w:b/>
      <w:bCs/>
      <w:kern w:val="2"/>
      <w:sz w:val="32"/>
      <w:szCs w:val="32"/>
    </w:rPr>
  </w:style>
  <w:style w:type="character" w:customStyle="1" w:styleId="32">
    <w:name w:val="未处理的提及1"/>
    <w:basedOn w:val="14"/>
    <w:semiHidden/>
    <w:unhideWhenUsed/>
    <w:qFormat/>
    <w:uiPriority w:val="99"/>
    <w:rPr>
      <w:color w:val="605E5C"/>
      <w:shd w:val="clear" w:color="auto" w:fill="E1DFDD"/>
    </w:rPr>
  </w:style>
  <w:style w:type="character" w:customStyle="1" w:styleId="33">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48381A-969A-4130-875C-541AF9617ACA}">
  <ds:schemaRefs/>
</ds:datastoreItem>
</file>

<file path=docProps/app.xml><?xml version="1.0" encoding="utf-8"?>
<Properties xmlns="http://schemas.openxmlformats.org/officeDocument/2006/extended-properties" xmlns:vt="http://schemas.openxmlformats.org/officeDocument/2006/docPropsVTypes">
  <Template>Normal</Template>
  <Pages>12</Pages>
  <Words>4230</Words>
  <Characters>4316</Characters>
  <Lines>332</Lines>
  <Paragraphs>328</Paragraphs>
  <TotalTime>23</TotalTime>
  <ScaleCrop>false</ScaleCrop>
  <LinksUpToDate>false</LinksUpToDate>
  <CharactersWithSpaces>8218</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2020-04-10T11:09:00Z</dcterms:created>
  <dc:creator>汪景涛</dc:creator>
  <cp:lastModifiedBy>扶我起来</cp:lastModifiedBy>
  <dcterms:modified xsi:type="dcterms:W3CDTF">2022-06-09T08:15:08Z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KSORubyTemplateID">
    <vt:lpwstr>6</vt:lpwstr>
  </property>
  <property fmtid="{D5CDD505-2E9C-101B-9397-08002B2CF9AE}" pid="4" name="ICV">
    <vt:lpwstr>531FE28B4B064D39B59BF7D7EB792F41</vt:lpwstr>
  </property>
  <property fmtid="{D5CDD505-2E9C-101B-9397-08002B2CF9AE}" pid="5" name="CWM7f87ddf0810b11f1800041aa000041aa">
    <vt:lpwstr>CWMoZJiWv+G17Tc9m6o+0z2oWgcJXdvLiYwAcx1RtR3H9YvqV5LdPQ7LlKejh3LvditU5x/3rTgM6IodYXstfFVFA==</vt:lpwstr>
  </property>
  <property fmtid="{D5CDD505-2E9C-101B-9397-08002B2CF9AE}" pid="6" name="fileWhereFroms">
    <vt:lpwstr>PpjeLB1gRN0lwrPqMaCTkkYX0ISrDZ7L/kEFZP5FyACZkJvUKbOn5wEK7u6LzonF08gdphIo0ygNyViV5C0LTlNzRxPAMG5xPZu7uC7bv0uL1Kex5PfDuKQOg5o6epURLaTi0LjsmSIJaFWi9SmBj4BXPt/KUhOY4m5mv1+wFS/WQT5dAwbNsvvFcRmZ1+E9bxVCuTHedtfAlWHpHh6zsU/7YyfdpTFxzKfC6fats9RhmuYDr5NH8EL5iEjk0A8DdeNKsIMgyuefMBeA+jyqHg==</vt:lpwstr>
  </property>
</Properties>
</file>