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ageBreakBefore w:val="0"/>
        <w:kinsoku/>
        <w:wordWrap/>
        <w:overflowPunct/>
        <w:topLinePunct w:val="0"/>
        <w:autoSpaceDE/>
        <w:autoSpaceDN/>
        <w:bidi w:val="0"/>
        <w:adjustRightInd/>
        <w:snapToGrid/>
        <w:spacing w:before="0" w:beforeLines="-2147483648" w:after="0" w:afterLines="-2147483648" w:line="420" w:lineRule="atLeast"/>
        <w:ind w:firstLine="0" w:firstLineChars="0"/>
        <w:jc w:val="center"/>
        <w:textAlignment w:val="auto"/>
        <w:rPr>
          <w:rFonts w:hint="default" w:ascii="Times New Roman" w:hAnsi="Times New Roman" w:eastAsia="仿宋" w:cs="Times New Roman"/>
          <w:b/>
          <w:sz w:val="28"/>
          <w:szCs w:val="28"/>
        </w:rPr>
      </w:pPr>
      <w:bookmarkStart w:id="0" w:name="_GoBack"/>
      <w:r>
        <w:rPr>
          <w:rFonts w:hint="default" w:ascii="Times New Roman" w:hAnsi="Times New Roman" w:eastAsia="仿宋" w:cs="Times New Roman"/>
          <w:b/>
          <w:sz w:val="28"/>
          <w:szCs w:val="28"/>
        </w:rPr>
        <w:t>涉华国际投资保护协定及国际争议案件法律解析系列之二十二：</w:t>
      </w:r>
    </w:p>
    <w:p>
      <w:pPr>
        <w:pageBreakBefore w:val="0"/>
        <w:kinsoku/>
        <w:wordWrap/>
        <w:overflowPunct/>
        <w:topLinePunct w:val="0"/>
        <w:autoSpaceDE/>
        <w:autoSpaceDN/>
        <w:bidi w:val="0"/>
        <w:adjustRightInd/>
        <w:snapToGrid/>
        <w:spacing w:before="0" w:beforeLines="-2147483648" w:after="0" w:afterLines="-2147483648" w:line="420" w:lineRule="atLeast"/>
        <w:ind w:firstLine="0" w:firstLineChars="0"/>
        <w:jc w:val="center"/>
        <w:textAlignment w:val="auto"/>
        <w:rPr>
          <w:rFonts w:hint="default" w:ascii="Times New Roman" w:hAnsi="Times New Roman" w:eastAsia="仿宋" w:cs="Times New Roman"/>
          <w:b/>
          <w:sz w:val="28"/>
          <w:szCs w:val="28"/>
        </w:rPr>
      </w:pPr>
      <w:r>
        <w:rPr>
          <w:rFonts w:hint="default" w:ascii="Times New Roman" w:hAnsi="Times New Roman" w:eastAsia="仿宋" w:cs="Times New Roman"/>
          <w:b/>
          <w:sz w:val="28"/>
          <w:szCs w:val="28"/>
        </w:rPr>
        <w:t>中国与亚美尼亚的双边投资保护协定</w:t>
      </w:r>
    </w:p>
    <w:bookmarkEnd w:id="0"/>
    <w:p>
      <w:pPr>
        <w:pageBreakBefore w:val="0"/>
        <w:kinsoku/>
        <w:wordWrap/>
        <w:overflowPunct/>
        <w:topLinePunct w:val="0"/>
        <w:autoSpaceDE/>
        <w:autoSpaceDN/>
        <w:bidi w:val="0"/>
        <w:adjustRightInd/>
        <w:snapToGrid/>
        <w:spacing w:before="0" w:beforeLines="50" w:after="0" w:afterLines="50" w:line="420" w:lineRule="atLeast"/>
        <w:ind w:firstLine="602" w:firstLineChars="200"/>
        <w:jc w:val="center"/>
        <w:textAlignment w:val="auto"/>
        <w:rPr>
          <w:rFonts w:hint="default" w:ascii="Times New Roman" w:hAnsi="Times New Roman" w:eastAsia="宋体" w:cs="Times New Roman"/>
          <w:b/>
          <w:sz w:val="30"/>
          <w:szCs w:val="30"/>
        </w:rPr>
      </w:pPr>
    </w:p>
    <w:p>
      <w:pPr>
        <w:pageBreakBefore w:val="0"/>
        <w:kinsoku/>
        <w:wordWrap/>
        <w:overflowPunct/>
        <w:topLinePunct w:val="0"/>
        <w:autoSpaceDE/>
        <w:autoSpaceDN/>
        <w:bidi w:val="0"/>
        <w:adjustRightInd/>
        <w:snapToGrid/>
        <w:spacing w:before="0" w:beforeLines="50" w:after="0" w:afterLines="50" w:line="420" w:lineRule="atLeast"/>
        <w:textAlignment w:val="auto"/>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作者简介：</w:t>
      </w:r>
    </w:p>
    <w:p>
      <w:pPr>
        <w:pageBreakBefore w:val="0"/>
        <w:kinsoku/>
        <w:wordWrap/>
        <w:overflowPunct/>
        <w:topLinePunct w:val="0"/>
        <w:autoSpaceDE/>
        <w:autoSpaceDN/>
        <w:bidi w:val="0"/>
        <w:adjustRightInd/>
        <w:snapToGrid/>
        <w:spacing w:before="0" w:beforeLines="50" w:after="0" w:afterLines="50" w:line="420" w:lineRule="atLeast"/>
        <w:textAlignment w:val="auto"/>
        <w:rPr>
          <w:rFonts w:hint="default" w:ascii="Times New Roman" w:hAnsi="Times New Roman" w:eastAsia="宋体" w:cs="Times New Roman"/>
          <w:sz w:val="24"/>
          <w:szCs w:val="24"/>
        </w:rPr>
      </w:pPr>
      <w:r>
        <w:rPr>
          <w:rFonts w:hint="default" w:ascii="Times New Roman" w:hAnsi="Times New Roman" w:eastAsia="宋体" w:cs="Times New Roman"/>
          <w:b/>
          <w:sz w:val="24"/>
          <w:szCs w:val="24"/>
        </w:rPr>
        <w:t>陈军</w:t>
      </w:r>
      <w:r>
        <w:rPr>
          <w:rFonts w:hint="default" w:ascii="Times New Roman" w:hAnsi="Times New Roman" w:eastAsia="宋体" w:cs="Times New Roman"/>
          <w:sz w:val="24"/>
          <w:szCs w:val="24"/>
        </w:rPr>
        <w:t xml:space="preserve">  上海市建纬律师事务所国际业务部主任、高级合伙人，国际公法、国际商法双法学硕士。陈军律师擅长跨境项目的投融资，从协助多家境内企业海外上市开始、到作为主办律师负责数十个跨国企业和境外机构在中国境内的收并购项目以及收购后的内部重组和构架调整、再到协助并策划境内央企、大型民营企业海外收并购、项目合作、海外融资。陈军律师主办、参与的案件涉及东盟、中东、欧美、非洲和拉美等超过30多个国家和地区。2016年至今，陈军律师担任“一带一路”（中国）仲裁院首届仲裁员，并作为中国区测评专家，连续多年参与世界银行营商环境测评。2018年，入选司法部全国千名涉外律师人才推荐名单。2019年，担任赣江新区国际仲裁院仲裁员。</w:t>
      </w:r>
    </w:p>
    <w:p>
      <w:pPr>
        <w:pageBreakBefore w:val="0"/>
        <w:kinsoku/>
        <w:wordWrap/>
        <w:overflowPunct/>
        <w:topLinePunct w:val="0"/>
        <w:autoSpaceDE/>
        <w:autoSpaceDN/>
        <w:bidi w:val="0"/>
        <w:adjustRightInd/>
        <w:snapToGrid/>
        <w:spacing w:before="0" w:beforeLines="50" w:after="0" w:afterLines="50" w:line="420" w:lineRule="atLeast"/>
        <w:textAlignment w:val="auto"/>
        <w:rPr>
          <w:rFonts w:hint="default" w:ascii="Times New Roman" w:hAnsi="Times New Roman" w:eastAsia="宋体" w:cs="Times New Roman"/>
          <w:sz w:val="24"/>
          <w:szCs w:val="24"/>
        </w:rPr>
      </w:pPr>
      <w:r>
        <w:rPr>
          <w:rFonts w:hint="default" w:ascii="Times New Roman" w:hAnsi="Times New Roman" w:eastAsia="宋体" w:cs="Times New Roman"/>
          <w:b/>
          <w:bCs/>
          <w:sz w:val="24"/>
          <w:szCs w:val="24"/>
        </w:rPr>
        <w:t>徐堇忆</w:t>
      </w:r>
      <w:r>
        <w:rPr>
          <w:rFonts w:hint="default" w:ascii="Times New Roman" w:hAnsi="Times New Roman" w:eastAsia="宋体" w:cs="Times New Roman"/>
          <w:sz w:val="24"/>
          <w:szCs w:val="24"/>
        </w:rPr>
        <w:t xml:space="preserve">  上海市建纬律师事务所国际业务部律师。毕业于华东政法大学、法国里昂第三大学。主要执业领域包括：房地产、跨境投资、涉外领域的仲裁诉讼和非诉讼法律事务服务。</w:t>
      </w:r>
    </w:p>
    <w:p>
      <w:pPr>
        <w:pageBreakBefore w:val="0"/>
        <w:kinsoku/>
        <w:wordWrap/>
        <w:overflowPunct/>
        <w:topLinePunct w:val="0"/>
        <w:autoSpaceDE/>
        <w:autoSpaceDN/>
        <w:bidi w:val="0"/>
        <w:adjustRightInd/>
        <w:snapToGrid/>
        <w:spacing w:before="0" w:beforeLines="50" w:after="0" w:afterLines="50" w:line="420" w:lineRule="atLeast"/>
        <w:textAlignment w:val="auto"/>
        <w:rPr>
          <w:rFonts w:hint="default" w:ascii="Times New Roman" w:hAnsi="Times New Roman" w:eastAsia="宋体" w:cs="Times New Roman"/>
          <w:sz w:val="24"/>
          <w:szCs w:val="24"/>
        </w:rPr>
      </w:pPr>
    </w:p>
    <w:p>
      <w:pPr>
        <w:pageBreakBefore w:val="0"/>
        <w:kinsoku/>
        <w:wordWrap/>
        <w:overflowPunct/>
        <w:topLinePunct w:val="0"/>
        <w:autoSpaceDE/>
        <w:autoSpaceDN/>
        <w:bidi w:val="0"/>
        <w:adjustRightInd/>
        <w:snapToGrid/>
        <w:spacing w:before="0" w:beforeLines="50" w:after="0" w:afterLines="50" w:line="420" w:lineRule="atLeast"/>
        <w:textAlignment w:val="auto"/>
        <w:rPr>
          <w:rFonts w:hint="default" w:ascii="Times New Roman" w:hAnsi="Times New Roman" w:eastAsia="宋体" w:cs="Times New Roman"/>
          <w:sz w:val="24"/>
          <w:szCs w:val="24"/>
        </w:rPr>
      </w:pPr>
    </w:p>
    <w:p>
      <w:pPr>
        <w:pageBreakBefore w:val="0"/>
        <w:kinsoku/>
        <w:wordWrap/>
        <w:overflowPunct/>
        <w:topLinePunct w:val="0"/>
        <w:autoSpaceDE/>
        <w:autoSpaceDN/>
        <w:bidi w:val="0"/>
        <w:adjustRightInd/>
        <w:snapToGrid/>
        <w:spacing w:before="0" w:beforeLines="50" w:after="0" w:afterLines="50" w:line="420" w:lineRule="atLeast"/>
        <w:ind w:firstLine="562" w:firstLineChars="200"/>
        <w:jc w:val="center"/>
        <w:textAlignment w:val="auto"/>
        <w:rPr>
          <w:rFonts w:hint="default" w:ascii="Times New Roman" w:hAnsi="Times New Roman" w:eastAsia="宋体" w:cs="Times New Roman"/>
          <w:b/>
          <w:sz w:val="28"/>
          <w:szCs w:val="28"/>
        </w:rPr>
      </w:pPr>
      <w:r>
        <w:rPr>
          <w:rFonts w:hint="default" w:ascii="Times New Roman" w:hAnsi="Times New Roman" w:eastAsia="宋体" w:cs="Times New Roman"/>
          <w:b/>
          <w:sz w:val="28"/>
          <w:szCs w:val="28"/>
        </w:rPr>
        <w:t>前言</w:t>
      </w:r>
    </w:p>
    <w:p>
      <w:pPr>
        <w:keepNext w:val="0"/>
        <w:keepLines w:val="0"/>
        <w:pageBreakBefore w:val="0"/>
        <w:widowControl w:val="0"/>
        <w:suppressLineNumbers w:val="0"/>
        <w:kinsoku/>
        <w:wordWrap/>
        <w:overflowPunct/>
        <w:topLinePunct w:val="0"/>
        <w:autoSpaceDE/>
        <w:autoSpaceDN/>
        <w:bidi w:val="0"/>
        <w:adjustRightInd/>
        <w:snapToGrid/>
        <w:spacing w:before="0" w:beforeLines="50" w:beforeAutospacing="0" w:after="0" w:afterLines="50" w:afterAutospacing="0" w:line="420" w:lineRule="atLeast"/>
        <w:ind w:left="0" w:right="0"/>
        <w:jc w:val="both"/>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亚美尼亚共和国（亚美尼亚语：Республика Беларусь，简称“亚美尼亚”或“亚”）地处亚洲与欧洲交界处，面积2.97万平方公里，人口近300万。2019年5月，亚美尼亚政府进行了改组，部委精简为12个。新政府提出了“经济革命”的口号，在施政纲领中明确出口为经济发展动力，重点发展科技、旅游、加工制造、农业等领域，将营造公平竞争环境、吸引外资、扶持中小企业、鼓励发明创造。在亚美尼亚政府2019年5月发布的2019-2023年政策规划中，制定了发展能源、采矿、交通、通讯信息技术、水资源、金融等领域的具体政策措施。此外，亚美尼亚享受欧盟给予的GSP+贸易优惠待遇，6000多种商品可以低关税或零关税向欧盟国家出口。2017年11月，亚美尼亚与欧盟签订了全面加强伙伴关系协定，为亚美尼亚与欧盟间加强政治经济合作提供了新平台。</w:t>
      </w:r>
    </w:p>
    <w:p>
      <w:pPr>
        <w:keepNext w:val="0"/>
        <w:keepLines w:val="0"/>
        <w:pageBreakBefore w:val="0"/>
        <w:widowControl w:val="0"/>
        <w:suppressLineNumbers w:val="0"/>
        <w:kinsoku/>
        <w:wordWrap/>
        <w:overflowPunct/>
        <w:topLinePunct w:val="0"/>
        <w:autoSpaceDE/>
        <w:autoSpaceDN/>
        <w:bidi w:val="0"/>
        <w:adjustRightInd/>
        <w:snapToGrid/>
        <w:spacing w:before="0" w:beforeLines="50" w:beforeAutospacing="0" w:after="0" w:afterLines="50" w:afterAutospacing="0" w:line="420" w:lineRule="atLeast"/>
        <w:ind w:left="0" w:right="0"/>
        <w:jc w:val="both"/>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2009年以来，中国一直是亚美尼亚第二大贸易伙伴。据中国海关统计，2018年中亚双边贸易额达5.21亿美元，同比增长19.5%。中国对亚主要出口商品有：机电、钢铁，家电、建 材家具和轻纺产品等；主要进口商品为矿产品、食品饮料和服装等。中国企业在亚参与了道路、电站等基础设施改造项目。</w:t>
      </w:r>
      <w:r>
        <w:rPr>
          <w:rStyle w:val="19"/>
          <w:rFonts w:hint="default" w:ascii="Times New Roman" w:hAnsi="Times New Roman" w:eastAsia="宋体" w:cs="Times New Roman"/>
          <w:sz w:val="24"/>
          <w:szCs w:val="24"/>
        </w:rPr>
        <w:footnoteReference w:id="0"/>
      </w:r>
      <w:r>
        <w:rPr>
          <w:rFonts w:hint="default" w:ascii="Times New Roman" w:hAnsi="Times New Roman" w:eastAsia="宋体" w:cs="Times New Roman"/>
          <w:sz w:val="24"/>
          <w:szCs w:val="24"/>
        </w:rPr>
        <w:t>亚美尼亚经济自由度较高，世界银行《2019年营商环境报告》显示，在190个经济体中，亚美尼亚营商环境便利度排名第41位，分值74.5</w:t>
      </w:r>
      <w:r>
        <w:rPr>
          <w:rStyle w:val="19"/>
          <w:rFonts w:hint="default" w:ascii="Times New Roman" w:hAnsi="Times New Roman" w:eastAsia="宋体" w:cs="Times New Roman"/>
          <w:sz w:val="24"/>
          <w:szCs w:val="24"/>
        </w:rPr>
        <w:footnoteReference w:id="1"/>
      </w:r>
      <w:r>
        <w:rPr>
          <w:rFonts w:hint="default" w:ascii="Times New Roman" w:hAnsi="Times New Roman" w:eastAsia="宋体" w:cs="Times New Roman"/>
          <w:sz w:val="24"/>
          <w:szCs w:val="24"/>
        </w:rPr>
        <w:t>（中国排名第31位，分值77.9）。根据ICSID官网2019年4月12日发布的数据显示，亚美尼亚于1992年加入《解决国家与他国国民间投资争议公约》（ICSID公约），并于同年批准生效，是“国际投资争端解决中心”（ICSID）成员国。</w:t>
      </w:r>
      <w:r>
        <w:rPr>
          <w:rStyle w:val="19"/>
          <w:rFonts w:hint="default" w:ascii="Times New Roman" w:hAnsi="Times New Roman" w:eastAsia="宋体" w:cs="Times New Roman"/>
          <w:sz w:val="24"/>
          <w:szCs w:val="24"/>
        </w:rPr>
        <w:footnoteReference w:id="2"/>
      </w:r>
      <w:r>
        <w:rPr>
          <w:rFonts w:hint="default" w:ascii="Times New Roman" w:hAnsi="Times New Roman" w:eastAsia="宋体" w:cs="Times New Roman"/>
          <w:sz w:val="24"/>
          <w:szCs w:val="24"/>
        </w:rPr>
        <w:t>亚美尼亚与中国同属1958年《纽约公约》（《承认及执行外国仲裁裁决公约》）成员国，这为承认和执行外国仲裁裁决提供了通道和便利。1992年7月4日，中亚两国签署了《中华人民共和国政府和亚美尼亚共和国政府关于鼓励和相互保护投资协定》（以下简称“</w:t>
      </w:r>
      <w:r>
        <w:rPr>
          <w:rFonts w:hint="default" w:ascii="Times New Roman" w:hAnsi="Times New Roman" w:eastAsia="宋体" w:cs="Times New Roman"/>
          <w:b/>
          <w:sz w:val="24"/>
          <w:szCs w:val="24"/>
        </w:rPr>
        <w:t>中亚BIT</w:t>
      </w:r>
      <w:r>
        <w:rPr>
          <w:rFonts w:hint="default" w:ascii="Times New Roman" w:hAnsi="Times New Roman" w:eastAsia="宋体" w:cs="Times New Roman"/>
          <w:sz w:val="24"/>
          <w:szCs w:val="24"/>
        </w:rPr>
        <w:t>”）。1996年，</w:t>
      </w:r>
      <w:r>
        <w:rPr>
          <w:rFonts w:hint="default" w:ascii="Times New Roman" w:hAnsi="Times New Roman" w:eastAsia="宋体" w:cs="Times New Roman"/>
          <w:kern w:val="2"/>
          <w:sz w:val="24"/>
          <w:szCs w:val="24"/>
          <w:lang w:eastAsia="zh-CN" w:bidi="ar"/>
        </w:rPr>
        <w:t>中亚</w:t>
      </w:r>
      <w:r>
        <w:rPr>
          <w:rFonts w:hint="default" w:ascii="Times New Roman" w:hAnsi="Times New Roman" w:eastAsia="宋体" w:cs="Times New Roman"/>
          <w:kern w:val="2"/>
          <w:sz w:val="24"/>
          <w:szCs w:val="24"/>
          <w:lang w:val="en-US" w:eastAsia="zh-CN" w:bidi="ar"/>
        </w:rPr>
        <w:t>两国签署了</w:t>
      </w:r>
      <w:r>
        <w:rPr>
          <w:rFonts w:hint="default" w:ascii="Times New Roman" w:hAnsi="Times New Roman" w:eastAsia="宋体" w:cs="Times New Roman"/>
          <w:sz w:val="24"/>
          <w:szCs w:val="24"/>
        </w:rPr>
        <w:t>《中华人民共和国政府和亚美尼亚共和国政府关于对所得避免双重征税和防止偷漏税的协定》。本文对</w:t>
      </w:r>
      <w:r>
        <w:rPr>
          <w:rFonts w:hint="default" w:ascii="Times New Roman" w:hAnsi="Times New Roman" w:eastAsia="宋体" w:cs="Times New Roman"/>
          <w:b/>
          <w:sz w:val="24"/>
          <w:szCs w:val="24"/>
        </w:rPr>
        <w:t>中亚BIT</w:t>
      </w:r>
      <w:r>
        <w:rPr>
          <w:rFonts w:hint="default" w:ascii="Times New Roman" w:hAnsi="Times New Roman" w:eastAsia="宋体" w:cs="Times New Roman"/>
          <w:sz w:val="24"/>
          <w:szCs w:val="24"/>
        </w:rPr>
        <w:t>的核心条款进行解析，旨在为保护中国投资者在亚美尼亚的投资提供一定的参考。</w:t>
      </w:r>
    </w:p>
    <w:p>
      <w:pPr>
        <w:pageBreakBefore w:val="0"/>
        <w:kinsoku/>
        <w:wordWrap/>
        <w:overflowPunct/>
        <w:topLinePunct w:val="0"/>
        <w:autoSpaceDE/>
        <w:autoSpaceDN/>
        <w:bidi w:val="0"/>
        <w:adjustRightInd/>
        <w:snapToGrid/>
        <w:spacing w:before="0" w:beforeLines="50" w:after="0" w:afterLines="50" w:line="420" w:lineRule="atLeast"/>
        <w:ind w:firstLine="480" w:firstLineChars="200"/>
        <w:textAlignment w:val="auto"/>
        <w:rPr>
          <w:rFonts w:hint="default" w:ascii="Times New Roman" w:hAnsi="Times New Roman" w:eastAsia="宋体" w:cs="Times New Roman"/>
          <w:sz w:val="24"/>
          <w:szCs w:val="24"/>
        </w:rPr>
      </w:pPr>
    </w:p>
    <w:p>
      <w:pPr>
        <w:pStyle w:val="2"/>
        <w:pageBreakBefore w:val="0"/>
        <w:numPr>
          <w:ilvl w:val="0"/>
          <w:numId w:val="1"/>
        </w:numPr>
        <w:kinsoku/>
        <w:wordWrap/>
        <w:overflowPunct/>
        <w:topLinePunct w:val="0"/>
        <w:autoSpaceDE/>
        <w:autoSpaceDN/>
        <w:bidi w:val="0"/>
        <w:adjustRightInd/>
        <w:snapToGrid/>
        <w:spacing w:before="0" w:beforeLines="50" w:after="0" w:afterLines="50" w:line="420" w:lineRule="atLeast"/>
        <w:jc w:val="left"/>
        <w:textAlignment w:val="auto"/>
        <w:rPr>
          <w:rFonts w:hint="default" w:ascii="Times New Roman" w:hAnsi="Times New Roman" w:eastAsia="宋体" w:cs="Times New Roman"/>
          <w:sz w:val="28"/>
          <w:szCs w:val="28"/>
        </w:rPr>
      </w:pPr>
      <w:r>
        <w:rPr>
          <w:rFonts w:hint="default" w:ascii="Times New Roman" w:hAnsi="Times New Roman" w:eastAsia="宋体" w:cs="Times New Roman"/>
          <w:sz w:val="28"/>
          <w:szCs w:val="28"/>
        </w:rPr>
        <w:t>“</w:t>
      </w:r>
      <w:r>
        <w:rPr>
          <w:rFonts w:hint="default" w:ascii="Times New Roman" w:hAnsi="Times New Roman" w:eastAsia="宋体" w:cs="Times New Roman"/>
          <w:b/>
          <w:sz w:val="28"/>
          <w:szCs w:val="28"/>
        </w:rPr>
        <w:t>中亚BIT</w:t>
      </w:r>
      <w:r>
        <w:rPr>
          <w:rFonts w:hint="default" w:ascii="Times New Roman" w:hAnsi="Times New Roman" w:eastAsia="宋体" w:cs="Times New Roman"/>
          <w:sz w:val="28"/>
          <w:szCs w:val="28"/>
        </w:rPr>
        <w:t>”核心条款解析</w:t>
      </w:r>
    </w:p>
    <w:p>
      <w:pPr>
        <w:pStyle w:val="3"/>
        <w:pageBreakBefore w:val="0"/>
        <w:kinsoku/>
        <w:wordWrap/>
        <w:overflowPunct/>
        <w:topLinePunct w:val="0"/>
        <w:autoSpaceDE/>
        <w:autoSpaceDN/>
        <w:bidi w:val="0"/>
        <w:adjustRightInd/>
        <w:snapToGrid/>
        <w:spacing w:before="0" w:beforeLines="50" w:after="0" w:afterLines="50" w:line="420" w:lineRule="atLeast"/>
        <w:ind w:firstLine="482"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（一）“</w:t>
      </w:r>
      <w:r>
        <w:rPr>
          <w:rFonts w:hint="default" w:ascii="Times New Roman" w:hAnsi="Times New Roman" w:eastAsia="宋体" w:cs="Times New Roman"/>
          <w:b/>
          <w:sz w:val="24"/>
          <w:szCs w:val="24"/>
        </w:rPr>
        <w:t>中亚BIT</w:t>
      </w:r>
      <w:r>
        <w:rPr>
          <w:rFonts w:hint="default" w:ascii="Times New Roman" w:hAnsi="Times New Roman" w:eastAsia="宋体" w:cs="Times New Roman"/>
          <w:sz w:val="24"/>
          <w:szCs w:val="24"/>
        </w:rPr>
        <w:t>”概览</w:t>
      </w:r>
    </w:p>
    <w:p>
      <w:pPr>
        <w:pageBreakBefore w:val="0"/>
        <w:kinsoku/>
        <w:wordWrap/>
        <w:overflowPunct/>
        <w:topLinePunct w:val="0"/>
        <w:autoSpaceDE/>
        <w:autoSpaceDN/>
        <w:bidi w:val="0"/>
        <w:adjustRightInd/>
        <w:snapToGrid/>
        <w:spacing w:before="0" w:beforeLines="50" w:after="0" w:afterLines="50" w:line="420" w:lineRule="atLeast"/>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 “</w:t>
      </w:r>
      <w:r>
        <w:rPr>
          <w:rFonts w:hint="default" w:ascii="Times New Roman" w:hAnsi="Times New Roman" w:eastAsia="宋体" w:cs="Times New Roman"/>
          <w:b/>
          <w:sz w:val="24"/>
          <w:szCs w:val="24"/>
        </w:rPr>
        <w:t>中亚BIT</w:t>
      </w:r>
      <w:r>
        <w:rPr>
          <w:rFonts w:hint="default" w:ascii="Times New Roman" w:hAnsi="Times New Roman" w:eastAsia="宋体" w:cs="Times New Roman"/>
          <w:sz w:val="24"/>
          <w:szCs w:val="24"/>
        </w:rPr>
        <w:t>”主要包括以下条款：</w:t>
      </w:r>
    </w:p>
    <w:p>
      <w:pPr>
        <w:pageBreakBefore w:val="0"/>
        <w:kinsoku/>
        <w:wordWrap/>
        <w:overflowPunct/>
        <w:topLinePunct w:val="0"/>
        <w:autoSpaceDE/>
        <w:autoSpaceDN/>
        <w:bidi w:val="0"/>
        <w:adjustRightInd/>
        <w:snapToGrid/>
        <w:spacing w:before="0" w:beforeLines="50" w:after="0" w:afterLines="50" w:line="420" w:lineRule="atLeast"/>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（1）“投资”、“投资者”、“收益”、“领土”的定义；</w:t>
      </w:r>
    </w:p>
    <w:p>
      <w:pPr>
        <w:pageBreakBefore w:val="0"/>
        <w:kinsoku/>
        <w:wordWrap/>
        <w:overflowPunct/>
        <w:topLinePunct w:val="0"/>
        <w:autoSpaceDE/>
        <w:autoSpaceDN/>
        <w:bidi w:val="0"/>
        <w:adjustRightInd/>
        <w:snapToGrid/>
        <w:spacing w:before="0" w:beforeLines="50" w:after="0" w:afterLines="50" w:line="420" w:lineRule="atLeast"/>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（2）鼓励和协助投资；</w:t>
      </w:r>
    </w:p>
    <w:p>
      <w:pPr>
        <w:pageBreakBefore w:val="0"/>
        <w:kinsoku/>
        <w:wordWrap/>
        <w:overflowPunct/>
        <w:topLinePunct w:val="0"/>
        <w:autoSpaceDE/>
        <w:autoSpaceDN/>
        <w:bidi w:val="0"/>
        <w:adjustRightInd/>
        <w:snapToGrid/>
        <w:spacing w:before="0" w:beforeLines="50" w:after="0" w:afterLines="50" w:line="420" w:lineRule="atLeast"/>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（3）公平待遇和最惠国待遇；</w:t>
      </w:r>
    </w:p>
    <w:p>
      <w:pPr>
        <w:pageBreakBefore w:val="0"/>
        <w:kinsoku/>
        <w:wordWrap/>
        <w:overflowPunct/>
        <w:topLinePunct w:val="0"/>
        <w:autoSpaceDE/>
        <w:autoSpaceDN/>
        <w:bidi w:val="0"/>
        <w:adjustRightInd/>
        <w:snapToGrid/>
        <w:spacing w:before="0" w:beforeLines="50" w:after="0" w:afterLines="50" w:line="420" w:lineRule="atLeast"/>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（4）征收和补偿；</w:t>
      </w:r>
    </w:p>
    <w:p>
      <w:pPr>
        <w:pageBreakBefore w:val="0"/>
        <w:kinsoku/>
        <w:wordWrap/>
        <w:overflowPunct/>
        <w:topLinePunct w:val="0"/>
        <w:autoSpaceDE/>
        <w:autoSpaceDN/>
        <w:bidi w:val="0"/>
        <w:adjustRightInd/>
        <w:snapToGrid/>
        <w:spacing w:before="0" w:beforeLines="50" w:after="0" w:afterLines="50" w:line="420" w:lineRule="atLeast"/>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（5）代位；</w:t>
      </w:r>
    </w:p>
    <w:p>
      <w:pPr>
        <w:pageBreakBefore w:val="0"/>
        <w:kinsoku/>
        <w:wordWrap/>
        <w:overflowPunct/>
        <w:topLinePunct w:val="0"/>
        <w:autoSpaceDE/>
        <w:autoSpaceDN/>
        <w:bidi w:val="0"/>
        <w:adjustRightInd/>
        <w:snapToGrid/>
        <w:spacing w:before="0" w:beforeLines="50" w:after="0" w:afterLines="50" w:line="420" w:lineRule="atLeast"/>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（6）与投资有关的款项的汇出；</w:t>
      </w:r>
    </w:p>
    <w:p>
      <w:pPr>
        <w:pageBreakBefore w:val="0"/>
        <w:kinsoku/>
        <w:wordWrap/>
        <w:overflowPunct/>
        <w:topLinePunct w:val="0"/>
        <w:autoSpaceDE/>
        <w:autoSpaceDN/>
        <w:bidi w:val="0"/>
        <w:adjustRightInd/>
        <w:snapToGrid/>
        <w:spacing w:before="0" w:beforeLines="50" w:after="0" w:afterLines="50" w:line="420" w:lineRule="atLeast"/>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（7）汇率；</w:t>
      </w:r>
    </w:p>
    <w:p>
      <w:pPr>
        <w:pageBreakBefore w:val="0"/>
        <w:kinsoku/>
        <w:wordWrap/>
        <w:overflowPunct/>
        <w:topLinePunct w:val="0"/>
        <w:autoSpaceDE/>
        <w:autoSpaceDN/>
        <w:bidi w:val="0"/>
        <w:adjustRightInd/>
        <w:snapToGrid/>
        <w:spacing w:before="0" w:beforeLines="50" w:after="0" w:afterLines="50" w:line="420" w:lineRule="atLeast"/>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（8）适用范围；</w:t>
      </w:r>
    </w:p>
    <w:p>
      <w:pPr>
        <w:pageBreakBefore w:val="0"/>
        <w:kinsoku/>
        <w:wordWrap/>
        <w:overflowPunct/>
        <w:topLinePunct w:val="0"/>
        <w:autoSpaceDE/>
        <w:autoSpaceDN/>
        <w:bidi w:val="0"/>
        <w:adjustRightInd/>
        <w:snapToGrid/>
        <w:spacing w:before="0" w:beforeLines="50" w:after="0" w:afterLines="50" w:line="420" w:lineRule="atLeast"/>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（9）缔约双方的争议解决；</w:t>
      </w:r>
    </w:p>
    <w:p>
      <w:pPr>
        <w:pageBreakBefore w:val="0"/>
        <w:kinsoku/>
        <w:wordWrap/>
        <w:overflowPunct/>
        <w:topLinePunct w:val="0"/>
        <w:autoSpaceDE/>
        <w:autoSpaceDN/>
        <w:bidi w:val="0"/>
        <w:adjustRightInd/>
        <w:snapToGrid/>
        <w:spacing w:before="0" w:beforeLines="50" w:after="0" w:afterLines="50" w:line="420" w:lineRule="atLeast"/>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（10）投资者和缔约一方间争议解决；</w:t>
      </w:r>
    </w:p>
    <w:p>
      <w:pPr>
        <w:pageBreakBefore w:val="0"/>
        <w:kinsoku/>
        <w:wordWrap/>
        <w:overflowPunct/>
        <w:topLinePunct w:val="0"/>
        <w:autoSpaceDE/>
        <w:autoSpaceDN/>
        <w:bidi w:val="0"/>
        <w:adjustRightInd/>
        <w:snapToGrid/>
        <w:spacing w:before="0" w:beforeLines="50" w:after="0" w:afterLines="50" w:line="420" w:lineRule="atLeast"/>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（11）更优惠原则；</w:t>
      </w:r>
    </w:p>
    <w:p>
      <w:pPr>
        <w:pageBreakBefore w:val="0"/>
        <w:kinsoku/>
        <w:wordWrap/>
        <w:overflowPunct/>
        <w:topLinePunct w:val="0"/>
        <w:autoSpaceDE/>
        <w:autoSpaceDN/>
        <w:bidi w:val="0"/>
        <w:adjustRightInd/>
        <w:snapToGrid/>
        <w:spacing w:before="0" w:beforeLines="50" w:after="0" w:afterLines="50" w:line="420" w:lineRule="atLeast"/>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（12）缔约双方会晤；</w:t>
      </w:r>
    </w:p>
    <w:p>
      <w:pPr>
        <w:pageBreakBefore w:val="0"/>
        <w:kinsoku/>
        <w:wordWrap/>
        <w:overflowPunct/>
        <w:topLinePunct w:val="0"/>
        <w:autoSpaceDE/>
        <w:autoSpaceDN/>
        <w:bidi w:val="0"/>
        <w:adjustRightInd/>
        <w:snapToGrid/>
        <w:spacing w:before="0" w:beforeLines="50" w:after="0" w:afterLines="50" w:line="420" w:lineRule="atLeast"/>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（12）其它。</w:t>
      </w:r>
    </w:p>
    <w:p>
      <w:pPr>
        <w:pageBreakBefore w:val="0"/>
        <w:kinsoku/>
        <w:wordWrap/>
        <w:overflowPunct/>
        <w:topLinePunct w:val="0"/>
        <w:autoSpaceDE/>
        <w:autoSpaceDN/>
        <w:bidi w:val="0"/>
        <w:adjustRightInd/>
        <w:snapToGrid/>
        <w:spacing w:before="0" w:beforeLines="50" w:after="0" w:afterLines="50" w:line="420" w:lineRule="atLeast"/>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下文重点就</w:t>
      </w:r>
      <w:r>
        <w:rPr>
          <w:rFonts w:hint="default" w:ascii="Times New Roman" w:hAnsi="Times New Roman" w:eastAsia="宋体" w:cs="Times New Roman"/>
          <w:b/>
          <w:sz w:val="24"/>
          <w:szCs w:val="24"/>
        </w:rPr>
        <w:t>中亚BIT</w:t>
      </w:r>
      <w:r>
        <w:rPr>
          <w:rFonts w:hint="default" w:ascii="Times New Roman" w:hAnsi="Times New Roman" w:eastAsia="宋体" w:cs="Times New Roman"/>
          <w:sz w:val="24"/>
          <w:szCs w:val="24"/>
        </w:rPr>
        <w:t>的核心条款进行分析，并从中国投资者的角度作相关提示。</w:t>
      </w:r>
    </w:p>
    <w:p>
      <w:pPr>
        <w:pageBreakBefore w:val="0"/>
        <w:kinsoku/>
        <w:wordWrap/>
        <w:overflowPunct/>
        <w:topLinePunct w:val="0"/>
        <w:autoSpaceDE/>
        <w:autoSpaceDN/>
        <w:bidi w:val="0"/>
        <w:adjustRightInd/>
        <w:snapToGrid/>
        <w:spacing w:before="0" w:beforeLines="50" w:after="0" w:afterLines="50" w:line="420" w:lineRule="atLeast"/>
        <w:ind w:firstLine="480" w:firstLineChars="200"/>
        <w:textAlignment w:val="auto"/>
        <w:rPr>
          <w:rFonts w:hint="default" w:ascii="Times New Roman" w:hAnsi="Times New Roman" w:eastAsia="宋体" w:cs="Times New Roman"/>
          <w:sz w:val="24"/>
          <w:szCs w:val="24"/>
        </w:rPr>
      </w:pPr>
    </w:p>
    <w:p>
      <w:pPr>
        <w:pStyle w:val="3"/>
        <w:pageBreakBefore w:val="0"/>
        <w:kinsoku/>
        <w:wordWrap/>
        <w:overflowPunct/>
        <w:topLinePunct w:val="0"/>
        <w:autoSpaceDE/>
        <w:autoSpaceDN/>
        <w:bidi w:val="0"/>
        <w:adjustRightInd/>
        <w:snapToGrid/>
        <w:spacing w:before="0" w:beforeLines="50" w:after="0" w:afterLines="50" w:line="420" w:lineRule="atLeast"/>
        <w:ind w:left="482"/>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（二）投资和投资者的定义</w:t>
      </w:r>
    </w:p>
    <w:p>
      <w:pPr>
        <w:pageBreakBefore w:val="0"/>
        <w:kinsoku/>
        <w:wordWrap/>
        <w:overflowPunct/>
        <w:topLinePunct w:val="0"/>
        <w:autoSpaceDE/>
        <w:autoSpaceDN/>
        <w:bidi w:val="0"/>
        <w:adjustRightInd/>
        <w:snapToGrid/>
        <w:spacing w:before="0" w:beforeLines="50" w:after="0" w:afterLines="50" w:line="420" w:lineRule="atLeast"/>
        <w:ind w:firstLine="482" w:firstLineChars="200"/>
        <w:textAlignment w:val="auto"/>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1.投资者的定义</w:t>
      </w:r>
    </w:p>
    <w:p>
      <w:pPr>
        <w:pageBreakBefore w:val="0"/>
        <w:kinsoku/>
        <w:wordWrap/>
        <w:overflowPunct/>
        <w:topLinePunct w:val="0"/>
        <w:autoSpaceDE/>
        <w:autoSpaceDN/>
        <w:bidi w:val="0"/>
        <w:adjustRightInd/>
        <w:snapToGrid/>
        <w:spacing w:before="0" w:beforeLines="50" w:after="0" w:afterLines="50" w:line="420" w:lineRule="atLeast"/>
        <w:ind w:firstLine="482"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b/>
          <w:sz w:val="24"/>
          <w:szCs w:val="24"/>
        </w:rPr>
        <w:t>中亚BIT</w:t>
      </w:r>
      <w:r>
        <w:rPr>
          <w:rFonts w:hint="default" w:ascii="Times New Roman" w:hAnsi="Times New Roman" w:eastAsia="宋体" w:cs="Times New Roman"/>
          <w:sz w:val="24"/>
          <w:szCs w:val="24"/>
        </w:rPr>
        <w:t>第1条第2款约定，“投资者”系指：</w:t>
      </w:r>
    </w:p>
    <w:p>
      <w:pPr>
        <w:pageBreakBefore w:val="0"/>
        <w:kinsoku/>
        <w:wordWrap/>
        <w:overflowPunct/>
        <w:topLinePunct w:val="0"/>
        <w:autoSpaceDE/>
        <w:autoSpaceDN/>
        <w:bidi w:val="0"/>
        <w:adjustRightInd/>
        <w:snapToGrid/>
        <w:spacing w:before="0" w:beforeLines="50" w:after="0" w:afterLines="50" w:line="420" w:lineRule="atLeast"/>
        <w:ind w:firstLine="480" w:firstLineChars="200"/>
        <w:textAlignment w:val="auto"/>
        <w:rPr>
          <w:rFonts w:hint="default" w:ascii="Times New Roman" w:hAnsi="Times New Roman" w:eastAsia="宋体" w:cs="Times New Roman"/>
          <w:i/>
          <w:iCs/>
          <w:sz w:val="24"/>
          <w:szCs w:val="24"/>
        </w:rPr>
      </w:pPr>
      <w:r>
        <w:rPr>
          <w:rFonts w:hint="default" w:ascii="Times New Roman" w:hAnsi="Times New Roman" w:eastAsia="宋体" w:cs="Times New Roman"/>
          <w:i/>
          <w:iCs/>
          <w:sz w:val="24"/>
          <w:szCs w:val="24"/>
        </w:rPr>
        <w:t>“（一）根据缔约一方法律法规为其公民的自然人；</w:t>
      </w:r>
    </w:p>
    <w:p>
      <w:pPr>
        <w:pageBreakBefore w:val="0"/>
        <w:kinsoku/>
        <w:wordWrap/>
        <w:overflowPunct/>
        <w:topLinePunct w:val="0"/>
        <w:autoSpaceDE/>
        <w:autoSpaceDN/>
        <w:bidi w:val="0"/>
        <w:adjustRightInd/>
        <w:snapToGrid/>
        <w:spacing w:before="0" w:beforeLines="50" w:after="0" w:afterLines="50" w:line="420" w:lineRule="atLeast"/>
        <w:ind w:firstLine="480" w:firstLineChars="200"/>
        <w:textAlignment w:val="auto"/>
        <w:rPr>
          <w:rFonts w:hint="default" w:ascii="Times New Roman" w:hAnsi="Times New Roman" w:eastAsia="宋体" w:cs="Times New Roman"/>
          <w:i/>
          <w:iCs/>
          <w:sz w:val="24"/>
          <w:szCs w:val="24"/>
        </w:rPr>
      </w:pPr>
      <w:r>
        <w:rPr>
          <w:rFonts w:hint="default" w:ascii="Times New Roman" w:hAnsi="Times New Roman" w:eastAsia="宋体" w:cs="Times New Roman"/>
          <w:i/>
          <w:iCs/>
          <w:sz w:val="24"/>
          <w:szCs w:val="24"/>
        </w:rPr>
        <w:t>（二）根据缔约一方领土内的现行法律和法规设立的企业、公司、其他经济组织；</w:t>
      </w:r>
    </w:p>
    <w:p>
      <w:pPr>
        <w:pageBreakBefore w:val="0"/>
        <w:kinsoku/>
        <w:wordWrap/>
        <w:overflowPunct/>
        <w:topLinePunct w:val="0"/>
        <w:autoSpaceDE/>
        <w:autoSpaceDN/>
        <w:bidi w:val="0"/>
        <w:adjustRightInd/>
        <w:snapToGrid/>
        <w:spacing w:before="0" w:beforeLines="50" w:after="0" w:afterLines="50" w:line="420" w:lineRule="atLeast"/>
        <w:ind w:firstLine="480" w:firstLineChars="200"/>
        <w:textAlignment w:val="auto"/>
        <w:rPr>
          <w:rFonts w:hint="default" w:ascii="Times New Roman" w:hAnsi="Times New Roman" w:eastAsia="宋体" w:cs="Times New Roman"/>
          <w:i/>
          <w:iCs/>
          <w:sz w:val="24"/>
          <w:szCs w:val="24"/>
        </w:rPr>
      </w:pPr>
      <w:r>
        <w:rPr>
          <w:rFonts w:hint="default" w:ascii="Times New Roman" w:hAnsi="Times New Roman" w:eastAsia="宋体" w:cs="Times New Roman"/>
          <w:i/>
          <w:iCs/>
          <w:sz w:val="24"/>
          <w:szCs w:val="24"/>
        </w:rPr>
        <w:t>但条件是自然人、企业、公司、其他经济组织根据缔约一方法律法规应有权在缔约另一方领土内进行投资。 ”</w:t>
      </w:r>
    </w:p>
    <w:p>
      <w:pPr>
        <w:pageBreakBefore w:val="0"/>
        <w:kinsoku/>
        <w:wordWrap/>
        <w:overflowPunct/>
        <w:topLinePunct w:val="0"/>
        <w:autoSpaceDE/>
        <w:autoSpaceDN/>
        <w:bidi w:val="0"/>
        <w:adjustRightInd/>
        <w:snapToGrid/>
        <w:spacing w:before="0" w:beforeLines="50" w:after="0" w:afterLines="50" w:line="420" w:lineRule="atLeast"/>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在亚美尼亚投资，如果是自然人投资者，只要该自然人是中国公民，即是符合</w:t>
      </w:r>
      <w:r>
        <w:rPr>
          <w:rFonts w:hint="default" w:ascii="Times New Roman" w:hAnsi="Times New Roman" w:eastAsia="宋体" w:cs="Times New Roman"/>
          <w:b/>
          <w:sz w:val="24"/>
          <w:szCs w:val="24"/>
        </w:rPr>
        <w:t>中亚BIT</w:t>
      </w:r>
      <w:r>
        <w:rPr>
          <w:rFonts w:hint="default" w:ascii="Times New Roman" w:hAnsi="Times New Roman" w:eastAsia="宋体" w:cs="Times New Roman"/>
          <w:sz w:val="24"/>
          <w:szCs w:val="24"/>
        </w:rPr>
        <w:t>的投资者。如果是</w:t>
      </w:r>
      <w:r>
        <w:rPr>
          <w:rFonts w:hint="eastAsia" w:ascii="Times New Roman" w:hAnsi="Times New Roman" w:eastAsia="宋体" w:cs="Times New Roman"/>
          <w:sz w:val="24"/>
          <w:szCs w:val="24"/>
          <w:lang w:val="en-US" w:eastAsia="zh-CN"/>
        </w:rPr>
        <w:t>中国的</w:t>
      </w:r>
      <w:r>
        <w:rPr>
          <w:rFonts w:hint="default" w:ascii="Times New Roman" w:hAnsi="Times New Roman" w:eastAsia="宋体" w:cs="Times New Roman"/>
          <w:sz w:val="24"/>
          <w:szCs w:val="24"/>
        </w:rPr>
        <w:t>企业、公司和其他经济组织</w:t>
      </w:r>
      <w:r>
        <w:rPr>
          <w:rFonts w:hint="eastAsia" w:ascii="Times New Roman" w:hAnsi="Times New Roman" w:eastAsia="宋体" w:cs="Times New Roman"/>
          <w:sz w:val="24"/>
          <w:szCs w:val="24"/>
          <w:lang w:eastAsia="zh-CN"/>
        </w:rPr>
        <w:t>，根据</w:t>
      </w:r>
      <w:r>
        <w:rPr>
          <w:rFonts w:hint="eastAsia" w:ascii="Times New Roman" w:hAnsi="Times New Roman" w:eastAsia="宋体" w:cs="Times New Roman"/>
          <w:sz w:val="24"/>
          <w:szCs w:val="24"/>
          <w:lang w:val="en-US" w:eastAsia="zh-CN"/>
        </w:rPr>
        <w:t>中国</w:t>
      </w:r>
      <w:r>
        <w:rPr>
          <w:rFonts w:hint="eastAsia" w:ascii="Times New Roman" w:hAnsi="Times New Roman" w:eastAsia="宋体" w:cs="Times New Roman"/>
          <w:sz w:val="24"/>
          <w:szCs w:val="24"/>
          <w:lang w:eastAsia="zh-CN"/>
        </w:rPr>
        <w:t>法律法规有权在</w:t>
      </w:r>
      <w:r>
        <w:rPr>
          <w:rFonts w:hint="eastAsia" w:ascii="Times New Roman" w:hAnsi="Times New Roman" w:eastAsia="宋体" w:cs="Times New Roman"/>
          <w:sz w:val="24"/>
          <w:szCs w:val="24"/>
          <w:lang w:val="en-US" w:eastAsia="zh-CN"/>
        </w:rPr>
        <w:t>亚</w:t>
      </w:r>
      <w:r>
        <w:rPr>
          <w:rFonts w:hint="eastAsia" w:ascii="Times New Roman" w:hAnsi="Times New Roman" w:eastAsia="宋体" w:cs="Times New Roman"/>
          <w:sz w:val="24"/>
          <w:szCs w:val="24"/>
          <w:lang w:eastAsia="zh-CN"/>
        </w:rPr>
        <w:t>进行投资</w:t>
      </w:r>
      <w:r>
        <w:rPr>
          <w:rFonts w:hint="eastAsia" w:ascii="Times New Roman" w:hAnsi="Times New Roman" w:eastAsia="宋体" w:cs="Times New Roman"/>
          <w:sz w:val="24"/>
          <w:szCs w:val="24"/>
          <w:lang w:val="en-US" w:eastAsia="zh-CN"/>
        </w:rPr>
        <w:t>的，</w:t>
      </w:r>
      <w:r>
        <w:rPr>
          <w:rFonts w:hint="default" w:ascii="Times New Roman" w:hAnsi="Times New Roman" w:eastAsia="宋体" w:cs="Times New Roman"/>
          <w:sz w:val="24"/>
          <w:szCs w:val="24"/>
        </w:rPr>
        <w:t>均</w:t>
      </w:r>
      <w:r>
        <w:rPr>
          <w:rFonts w:hint="eastAsia" w:ascii="Times New Roman" w:hAnsi="Times New Roman" w:eastAsia="宋体" w:cs="Times New Roman"/>
          <w:sz w:val="24"/>
          <w:szCs w:val="24"/>
          <w:lang w:val="en-US" w:eastAsia="zh-CN"/>
        </w:rPr>
        <w:t>属于</w:t>
      </w:r>
      <w:r>
        <w:rPr>
          <w:rFonts w:hint="default" w:ascii="Times New Roman" w:hAnsi="Times New Roman" w:eastAsia="宋体" w:cs="Times New Roman"/>
          <w:b/>
          <w:sz w:val="24"/>
          <w:szCs w:val="24"/>
        </w:rPr>
        <w:t>中亚BIT</w:t>
      </w:r>
      <w:r>
        <w:rPr>
          <w:rFonts w:hint="default" w:ascii="Times New Roman" w:hAnsi="Times New Roman" w:eastAsia="宋体" w:cs="Times New Roman"/>
          <w:sz w:val="24"/>
          <w:szCs w:val="24"/>
        </w:rPr>
        <w:t>的合格投资者。</w:t>
      </w:r>
    </w:p>
    <w:p>
      <w:pPr>
        <w:pageBreakBefore w:val="0"/>
        <w:kinsoku/>
        <w:wordWrap/>
        <w:overflowPunct/>
        <w:topLinePunct w:val="0"/>
        <w:autoSpaceDE/>
        <w:autoSpaceDN/>
        <w:bidi w:val="0"/>
        <w:adjustRightInd/>
        <w:snapToGrid/>
        <w:spacing w:before="0" w:beforeLines="50" w:after="0" w:afterLines="50" w:line="420" w:lineRule="atLeast"/>
        <w:ind w:firstLine="482" w:firstLineChars="200"/>
        <w:textAlignment w:val="auto"/>
        <w:rPr>
          <w:rFonts w:hint="default" w:ascii="Times New Roman" w:hAnsi="Times New Roman" w:eastAsia="宋体" w:cs="Times New Roman"/>
          <w:b/>
          <w:sz w:val="24"/>
          <w:szCs w:val="24"/>
        </w:rPr>
      </w:pPr>
    </w:p>
    <w:p>
      <w:pPr>
        <w:pageBreakBefore w:val="0"/>
        <w:kinsoku/>
        <w:wordWrap/>
        <w:overflowPunct/>
        <w:topLinePunct w:val="0"/>
        <w:autoSpaceDE/>
        <w:autoSpaceDN/>
        <w:bidi w:val="0"/>
        <w:adjustRightInd/>
        <w:snapToGrid/>
        <w:spacing w:before="0" w:beforeLines="50" w:after="0" w:afterLines="50" w:line="420" w:lineRule="atLeast"/>
        <w:ind w:firstLine="482" w:firstLineChars="200"/>
        <w:textAlignment w:val="auto"/>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2．投资的定义</w:t>
      </w:r>
    </w:p>
    <w:p>
      <w:pPr>
        <w:pageBreakBefore w:val="0"/>
        <w:kinsoku/>
        <w:wordWrap/>
        <w:overflowPunct/>
        <w:topLinePunct w:val="0"/>
        <w:autoSpaceDE/>
        <w:autoSpaceDN/>
        <w:bidi w:val="0"/>
        <w:adjustRightInd/>
        <w:snapToGrid/>
        <w:spacing w:before="0" w:beforeLines="50" w:after="0" w:afterLines="50" w:line="420" w:lineRule="atLeast"/>
        <w:ind w:firstLine="482"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b/>
          <w:sz w:val="24"/>
          <w:szCs w:val="24"/>
        </w:rPr>
        <w:t>中亚BIT</w:t>
      </w:r>
      <w:r>
        <w:rPr>
          <w:rFonts w:hint="default" w:ascii="Times New Roman" w:hAnsi="Times New Roman" w:eastAsia="宋体" w:cs="Times New Roman"/>
          <w:sz w:val="24"/>
          <w:szCs w:val="24"/>
        </w:rPr>
        <w:t>第1条第1款采用概括定义加列举的方式对“投资”进行定义，</w:t>
      </w:r>
      <w:r>
        <w:rPr>
          <w:rFonts w:hint="default" w:ascii="Times New Roman" w:hAnsi="Times New Roman" w:eastAsia="宋体" w:cs="Times New Roman"/>
          <w:b/>
          <w:sz w:val="24"/>
          <w:szCs w:val="24"/>
        </w:rPr>
        <w:t>中亚BIT</w:t>
      </w:r>
      <w:r>
        <w:rPr>
          <w:rFonts w:hint="default" w:ascii="Times New Roman" w:hAnsi="Times New Roman" w:eastAsia="宋体" w:cs="Times New Roman"/>
          <w:sz w:val="24"/>
          <w:szCs w:val="24"/>
        </w:rPr>
        <w:t>下中国投资者对亚美尼亚的“投资”是在亚美尼亚领土内依照亚美尼亚国内法律法规“所投入</w:t>
      </w:r>
      <w:r>
        <w:rPr>
          <w:rFonts w:hint="default" w:ascii="Times New Roman" w:hAnsi="Times New Roman" w:eastAsia="宋体" w:cs="Times New Roman"/>
          <w:i/>
          <w:iCs/>
          <w:sz w:val="24"/>
          <w:szCs w:val="24"/>
        </w:rPr>
        <w:t>的各种资产</w:t>
      </w:r>
      <w:r>
        <w:rPr>
          <w:rFonts w:hint="default" w:ascii="Times New Roman" w:hAnsi="Times New Roman" w:eastAsia="宋体" w:cs="Times New Roman"/>
          <w:sz w:val="24"/>
          <w:szCs w:val="24"/>
        </w:rPr>
        <w:t>”，尤其是：</w:t>
      </w:r>
    </w:p>
    <w:p>
      <w:pPr>
        <w:pageBreakBefore w:val="0"/>
        <w:kinsoku/>
        <w:wordWrap/>
        <w:overflowPunct/>
        <w:topLinePunct w:val="0"/>
        <w:autoSpaceDE/>
        <w:autoSpaceDN/>
        <w:bidi w:val="0"/>
        <w:adjustRightInd/>
        <w:snapToGrid/>
        <w:spacing w:before="0" w:beforeLines="50" w:after="0" w:afterLines="50" w:line="420" w:lineRule="atLeast"/>
        <w:ind w:firstLine="480" w:firstLineChars="200"/>
        <w:textAlignment w:val="auto"/>
        <w:rPr>
          <w:rFonts w:hint="default" w:ascii="Times New Roman" w:hAnsi="Times New Roman" w:eastAsia="宋体" w:cs="Times New Roman"/>
          <w:i/>
          <w:iCs/>
          <w:sz w:val="24"/>
          <w:szCs w:val="24"/>
          <w:lang w:val="en-US" w:eastAsia="zh-CN"/>
        </w:rPr>
      </w:pPr>
      <w:r>
        <w:rPr>
          <w:rFonts w:hint="default" w:ascii="Times New Roman" w:hAnsi="Times New Roman" w:eastAsia="宋体" w:cs="Times New Roman"/>
          <w:i/>
          <w:iCs/>
          <w:sz w:val="24"/>
          <w:szCs w:val="24"/>
        </w:rPr>
        <w:t>“</w:t>
      </w:r>
      <w:r>
        <w:rPr>
          <w:rFonts w:hint="default" w:ascii="Times New Roman" w:hAnsi="Times New Roman" w:eastAsia="宋体" w:cs="Times New Roman"/>
          <w:i/>
          <w:iCs/>
          <w:sz w:val="24"/>
          <w:szCs w:val="24"/>
          <w:lang w:val="en-US" w:eastAsia="zh-CN"/>
        </w:rPr>
        <w:t>（一）动产和不动产及财产权利； </w:t>
      </w:r>
    </w:p>
    <w:p>
      <w:pPr>
        <w:pageBreakBefore w:val="0"/>
        <w:numPr>
          <w:ilvl w:val="0"/>
          <w:numId w:val="2"/>
        </w:numPr>
        <w:kinsoku/>
        <w:wordWrap/>
        <w:overflowPunct/>
        <w:topLinePunct w:val="0"/>
        <w:autoSpaceDE/>
        <w:autoSpaceDN/>
        <w:bidi w:val="0"/>
        <w:adjustRightInd/>
        <w:snapToGrid/>
        <w:spacing w:before="0" w:beforeLines="50" w:after="0" w:afterLines="50" w:line="420" w:lineRule="atLeast"/>
        <w:ind w:firstLine="480" w:firstLineChars="200"/>
        <w:textAlignment w:val="auto"/>
        <w:rPr>
          <w:rFonts w:hint="default" w:ascii="Times New Roman" w:hAnsi="Times New Roman" w:eastAsia="宋体" w:cs="Times New Roman"/>
          <w:i/>
          <w:iCs/>
          <w:sz w:val="24"/>
          <w:szCs w:val="24"/>
          <w:lang w:val="en-US" w:eastAsia="zh-CN"/>
        </w:rPr>
      </w:pPr>
      <w:r>
        <w:rPr>
          <w:rFonts w:hint="default" w:ascii="Times New Roman" w:hAnsi="Times New Roman" w:eastAsia="宋体" w:cs="Times New Roman"/>
          <w:i/>
          <w:iCs/>
          <w:sz w:val="24"/>
          <w:szCs w:val="24"/>
          <w:lang w:val="en-US" w:eastAsia="zh-CN"/>
        </w:rPr>
        <w:t>在企业和公司中的股份或其他形式的参股； </w:t>
      </w:r>
    </w:p>
    <w:p>
      <w:pPr>
        <w:pageBreakBefore w:val="0"/>
        <w:numPr>
          <w:ilvl w:val="0"/>
          <w:numId w:val="2"/>
        </w:numPr>
        <w:kinsoku/>
        <w:wordWrap/>
        <w:overflowPunct/>
        <w:topLinePunct w:val="0"/>
        <w:autoSpaceDE/>
        <w:autoSpaceDN/>
        <w:bidi w:val="0"/>
        <w:adjustRightInd/>
        <w:snapToGrid/>
        <w:spacing w:before="0" w:beforeLines="50" w:after="0" w:afterLines="50" w:line="420" w:lineRule="atLeast"/>
        <w:ind w:firstLine="480" w:firstLineChars="200"/>
        <w:textAlignment w:val="auto"/>
        <w:rPr>
          <w:rFonts w:hint="default" w:ascii="Times New Roman" w:hAnsi="Times New Roman" w:eastAsia="宋体" w:cs="Times New Roman"/>
          <w:i/>
          <w:iCs/>
          <w:sz w:val="24"/>
          <w:szCs w:val="24"/>
        </w:rPr>
      </w:pPr>
      <w:r>
        <w:rPr>
          <w:rFonts w:hint="default" w:ascii="Times New Roman" w:hAnsi="Times New Roman" w:eastAsia="宋体" w:cs="Times New Roman"/>
          <w:i/>
          <w:iCs/>
          <w:sz w:val="24"/>
          <w:szCs w:val="24"/>
          <w:lang w:val="en-US" w:eastAsia="zh-CN"/>
        </w:rPr>
        <w:t>金钱请求权或具有经济价值的行为请求权； </w:t>
      </w:r>
    </w:p>
    <w:p>
      <w:pPr>
        <w:pageBreakBefore w:val="0"/>
        <w:numPr>
          <w:ilvl w:val="0"/>
          <w:numId w:val="2"/>
        </w:numPr>
        <w:kinsoku/>
        <w:wordWrap/>
        <w:overflowPunct/>
        <w:topLinePunct w:val="0"/>
        <w:autoSpaceDE/>
        <w:autoSpaceDN/>
        <w:bidi w:val="0"/>
        <w:adjustRightInd/>
        <w:snapToGrid/>
        <w:spacing w:before="0" w:beforeLines="50" w:after="0" w:afterLines="50" w:line="420" w:lineRule="atLeast"/>
        <w:ind w:firstLine="480" w:firstLineChars="200"/>
        <w:textAlignment w:val="auto"/>
        <w:rPr>
          <w:rFonts w:hint="default" w:ascii="Times New Roman" w:hAnsi="Times New Roman" w:eastAsia="宋体" w:cs="Times New Roman"/>
          <w:i/>
          <w:iCs/>
          <w:sz w:val="24"/>
          <w:szCs w:val="24"/>
        </w:rPr>
      </w:pPr>
      <w:r>
        <w:rPr>
          <w:rFonts w:hint="default" w:ascii="Times New Roman" w:hAnsi="Times New Roman" w:eastAsia="宋体" w:cs="Times New Roman"/>
          <w:i/>
          <w:iCs/>
          <w:sz w:val="24"/>
          <w:szCs w:val="24"/>
          <w:lang w:val="en-US" w:eastAsia="zh-CN"/>
        </w:rPr>
        <w:t>著作权，工业产权，专有技术和工艺； </w:t>
      </w:r>
    </w:p>
    <w:p>
      <w:pPr>
        <w:pageBreakBefore w:val="0"/>
        <w:numPr>
          <w:ilvl w:val="0"/>
          <w:numId w:val="2"/>
        </w:numPr>
        <w:kinsoku/>
        <w:wordWrap/>
        <w:overflowPunct/>
        <w:topLinePunct w:val="0"/>
        <w:autoSpaceDE/>
        <w:autoSpaceDN/>
        <w:bidi w:val="0"/>
        <w:adjustRightInd/>
        <w:snapToGrid/>
        <w:spacing w:before="0" w:beforeLines="50" w:after="0" w:afterLines="50" w:line="420" w:lineRule="atLeast"/>
        <w:ind w:firstLine="480" w:firstLineChars="200"/>
        <w:textAlignment w:val="auto"/>
        <w:rPr>
          <w:rFonts w:hint="default" w:ascii="Times New Roman" w:hAnsi="Times New Roman" w:eastAsia="宋体" w:cs="Times New Roman"/>
          <w:i/>
          <w:iCs/>
          <w:sz w:val="24"/>
          <w:szCs w:val="24"/>
        </w:rPr>
      </w:pPr>
      <w:r>
        <w:rPr>
          <w:rFonts w:hint="default" w:ascii="Times New Roman" w:hAnsi="Times New Roman" w:eastAsia="宋体" w:cs="Times New Roman"/>
          <w:i/>
          <w:iCs/>
          <w:sz w:val="24"/>
          <w:szCs w:val="24"/>
          <w:lang w:val="en-US" w:eastAsia="zh-CN"/>
        </w:rPr>
        <w:t>依照法律或合同授予的从事经济活动的权利，尤其是勘探和开发自然资源的权利。 </w:t>
      </w:r>
      <w:r>
        <w:rPr>
          <w:rFonts w:hint="default" w:ascii="Times New Roman" w:hAnsi="Times New Roman" w:eastAsia="宋体" w:cs="Times New Roman"/>
          <w:i/>
          <w:iCs/>
          <w:sz w:val="24"/>
          <w:szCs w:val="24"/>
          <w:lang w:eastAsia="zh-CN"/>
        </w:rPr>
        <w:t>”</w:t>
      </w:r>
    </w:p>
    <w:p>
      <w:pPr>
        <w:pageBreakBefore w:val="0"/>
        <w:kinsoku/>
        <w:wordWrap/>
        <w:overflowPunct/>
        <w:topLinePunct w:val="0"/>
        <w:autoSpaceDE/>
        <w:autoSpaceDN/>
        <w:bidi w:val="0"/>
        <w:adjustRightInd/>
        <w:snapToGrid/>
        <w:spacing w:before="0" w:beforeLines="50" w:after="0" w:afterLines="50" w:line="420" w:lineRule="atLeast"/>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结合上述投资及投资者定义，我国自然人、企业、公司和其他经济组织按照我国国内法和亚美尼亚的法律法规在亚美尼亚投资财产，可被认定为符合</w:t>
      </w:r>
      <w:r>
        <w:rPr>
          <w:rFonts w:hint="default" w:ascii="Times New Roman" w:hAnsi="Times New Roman" w:eastAsia="宋体" w:cs="Times New Roman"/>
          <w:b/>
          <w:sz w:val="24"/>
          <w:szCs w:val="24"/>
        </w:rPr>
        <w:t>中亚BIT</w:t>
      </w:r>
      <w:r>
        <w:rPr>
          <w:rFonts w:hint="default" w:ascii="Times New Roman" w:hAnsi="Times New Roman" w:eastAsia="宋体" w:cs="Times New Roman"/>
          <w:sz w:val="24"/>
          <w:szCs w:val="24"/>
        </w:rPr>
        <w:t>的投资。</w:t>
      </w:r>
    </w:p>
    <w:p>
      <w:pPr>
        <w:pageBreakBefore w:val="0"/>
        <w:kinsoku/>
        <w:wordWrap/>
        <w:overflowPunct/>
        <w:topLinePunct w:val="0"/>
        <w:autoSpaceDE/>
        <w:autoSpaceDN/>
        <w:bidi w:val="0"/>
        <w:adjustRightInd/>
        <w:snapToGrid/>
        <w:spacing w:before="0" w:beforeLines="50" w:after="0" w:afterLines="50" w:line="420" w:lineRule="atLeast"/>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亚美尼亚相关法律规定，外国承包商在亚美尼亚承包工程需获得有关政府部门的许可。同时，因法律规定外国自然人可以与亚美尼亚公民签署任何民法合同，因此外国自然人可以承揽亚发包方为自然人的承包项目。除涉及国家机密的军工等领域外，亚美尼亚对外国承包工程没有限制。亚美尼亚工程建设实行严格的招标制度，有关招标信息在国际和国内重要刊物上公开发布。此外，亚美尼亚在其《民法典》（Civil Code）第37章对在亚美尼亚进行项目承包做出了详细的规定，主要内容包括承包商的责任，风险分担，总承包商及分包商，承包项目的期限和价格，支付款项的程序，项目验收及承质量等方面的规定，同时规定项目质量必须符合合同条款所规定的质量标准。</w:t>
      </w:r>
      <w:r>
        <w:rPr>
          <w:rStyle w:val="19"/>
          <w:rFonts w:hint="default" w:ascii="Times New Roman" w:hAnsi="Times New Roman" w:eastAsia="宋体" w:cs="Times New Roman"/>
          <w:sz w:val="24"/>
          <w:szCs w:val="24"/>
        </w:rPr>
        <w:footnoteReference w:id="3"/>
      </w:r>
      <w:r>
        <w:rPr>
          <w:rFonts w:hint="default" w:ascii="Times New Roman" w:hAnsi="Times New Roman" w:eastAsia="宋体" w:cs="Times New Roman"/>
          <w:sz w:val="24"/>
          <w:szCs w:val="24"/>
        </w:rPr>
        <w:t xml:space="preserve"> </w:t>
      </w:r>
    </w:p>
    <w:p>
      <w:pPr>
        <w:pageBreakBefore w:val="0"/>
        <w:kinsoku/>
        <w:wordWrap/>
        <w:overflowPunct/>
        <w:topLinePunct w:val="0"/>
        <w:autoSpaceDE/>
        <w:autoSpaceDN/>
        <w:bidi w:val="0"/>
        <w:adjustRightInd/>
        <w:snapToGrid/>
        <w:spacing w:before="0" w:beforeLines="50" w:after="0" w:afterLines="50" w:line="420" w:lineRule="atLeast"/>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中国承包商在亚美尼亚承包工程项目，且符合上述亚美尼亚国内许可和招标规定的，笔者认为，中国承包商对该工程项目的投资应属于</w:t>
      </w:r>
      <w:r>
        <w:rPr>
          <w:rFonts w:hint="default" w:ascii="Times New Roman" w:hAnsi="Times New Roman" w:eastAsia="宋体" w:cs="Times New Roman"/>
          <w:b/>
          <w:sz w:val="24"/>
          <w:szCs w:val="24"/>
        </w:rPr>
        <w:t>中亚BIT</w:t>
      </w:r>
      <w:r>
        <w:rPr>
          <w:rFonts w:hint="default" w:ascii="Times New Roman" w:hAnsi="Times New Roman" w:eastAsia="宋体" w:cs="Times New Roman"/>
          <w:sz w:val="24"/>
          <w:szCs w:val="24"/>
        </w:rPr>
        <w:t>项下的投资范围，可获得</w:t>
      </w:r>
      <w:r>
        <w:rPr>
          <w:rFonts w:hint="default" w:ascii="Times New Roman" w:hAnsi="Times New Roman" w:eastAsia="宋体" w:cs="Times New Roman"/>
          <w:b/>
          <w:sz w:val="24"/>
          <w:szCs w:val="24"/>
        </w:rPr>
        <w:t>中亚BIT</w:t>
      </w:r>
      <w:r>
        <w:rPr>
          <w:rFonts w:hint="default" w:ascii="Times New Roman" w:hAnsi="Times New Roman" w:eastAsia="宋体" w:cs="Times New Roman"/>
          <w:sz w:val="24"/>
          <w:szCs w:val="24"/>
        </w:rPr>
        <w:t>的保护。同理，中国的银行向该等工程项目提供融资服务的，银行取得的金钱请求权也可纳入</w:t>
      </w:r>
      <w:r>
        <w:rPr>
          <w:rFonts w:hint="default" w:ascii="Times New Roman" w:hAnsi="Times New Roman" w:eastAsia="宋体" w:cs="Times New Roman"/>
          <w:b/>
          <w:sz w:val="24"/>
          <w:szCs w:val="24"/>
        </w:rPr>
        <w:t>中亚BIT</w:t>
      </w:r>
      <w:r>
        <w:rPr>
          <w:rFonts w:hint="default" w:ascii="Times New Roman" w:hAnsi="Times New Roman" w:eastAsia="宋体" w:cs="Times New Roman"/>
          <w:sz w:val="24"/>
          <w:szCs w:val="24"/>
        </w:rPr>
        <w:t>的保护范围。</w:t>
      </w:r>
      <w:r>
        <w:rPr>
          <w:rFonts w:hint="default" w:ascii="Times New Roman" w:hAnsi="Times New Roman" w:eastAsia="宋体" w:cs="Times New Roman"/>
          <w:b/>
          <w:sz w:val="24"/>
          <w:szCs w:val="24"/>
          <w:lang w:eastAsia="zh-CN"/>
        </w:rPr>
        <w:t>中亚BIT</w:t>
      </w:r>
      <w:r>
        <w:rPr>
          <w:rFonts w:hint="default" w:ascii="Times New Roman" w:hAnsi="Times New Roman" w:eastAsia="宋体" w:cs="Times New Roman"/>
          <w:sz w:val="24"/>
          <w:szCs w:val="24"/>
          <w:lang w:eastAsia="zh-CN"/>
        </w:rPr>
        <w:t>第六条中列举可汇出的与投资有关的款项时，也包含了“与投资有关的贷款协定的支付”。</w:t>
      </w:r>
    </w:p>
    <w:p>
      <w:pPr>
        <w:pageBreakBefore w:val="0"/>
        <w:kinsoku/>
        <w:wordWrap/>
        <w:overflowPunct/>
        <w:topLinePunct w:val="0"/>
        <w:autoSpaceDE/>
        <w:autoSpaceDN/>
        <w:bidi w:val="0"/>
        <w:adjustRightInd/>
        <w:snapToGrid/>
        <w:spacing w:before="0" w:beforeLines="50" w:after="0" w:afterLines="50" w:line="420" w:lineRule="atLeast"/>
        <w:textAlignment w:val="auto"/>
        <w:rPr>
          <w:rFonts w:hint="default" w:ascii="Times New Roman" w:hAnsi="Times New Roman" w:eastAsia="宋体" w:cs="Times New Roman"/>
          <w:sz w:val="24"/>
          <w:szCs w:val="24"/>
        </w:rPr>
      </w:pPr>
    </w:p>
    <w:p>
      <w:pPr>
        <w:pStyle w:val="3"/>
        <w:pageBreakBefore w:val="0"/>
        <w:kinsoku/>
        <w:wordWrap/>
        <w:overflowPunct/>
        <w:topLinePunct w:val="0"/>
        <w:autoSpaceDE/>
        <w:autoSpaceDN/>
        <w:bidi w:val="0"/>
        <w:adjustRightInd/>
        <w:snapToGrid/>
        <w:spacing w:before="0" w:beforeLines="50" w:after="0" w:afterLines="50" w:line="420" w:lineRule="atLeast"/>
        <w:ind w:firstLine="482"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（二）征收和补偿</w:t>
      </w:r>
    </w:p>
    <w:p>
      <w:pPr>
        <w:pageBreakBefore w:val="0"/>
        <w:kinsoku/>
        <w:wordWrap/>
        <w:overflowPunct/>
        <w:topLinePunct w:val="0"/>
        <w:autoSpaceDE/>
        <w:autoSpaceDN/>
        <w:bidi w:val="0"/>
        <w:adjustRightInd/>
        <w:snapToGrid/>
        <w:spacing w:before="0" w:beforeLines="50" w:after="0" w:afterLines="50" w:line="420" w:lineRule="atLeast"/>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根据</w:t>
      </w:r>
      <w:r>
        <w:rPr>
          <w:rFonts w:hint="default" w:ascii="Times New Roman" w:hAnsi="Times New Roman" w:eastAsia="宋体" w:cs="Times New Roman"/>
          <w:b/>
          <w:sz w:val="24"/>
          <w:szCs w:val="24"/>
        </w:rPr>
        <w:t>中亚BIT</w:t>
      </w:r>
      <w:r>
        <w:rPr>
          <w:rFonts w:hint="default" w:ascii="Times New Roman" w:hAnsi="Times New Roman" w:eastAsia="宋体" w:cs="Times New Roman"/>
          <w:sz w:val="24"/>
          <w:szCs w:val="24"/>
        </w:rPr>
        <w:t>第4条约定，亚美尼亚政府对我国投资者在其境内的投资不得被实行国有化、征收或者具有类似国有化、征收效果的其他措施（以下简称“征收”），除非同时满足以下四个条件：</w:t>
      </w:r>
    </w:p>
    <w:p>
      <w:pPr>
        <w:pageBreakBefore w:val="0"/>
        <w:numPr>
          <w:ilvl w:val="0"/>
          <w:numId w:val="3"/>
        </w:numPr>
        <w:kinsoku/>
        <w:wordWrap/>
        <w:overflowPunct/>
        <w:topLinePunct w:val="0"/>
        <w:autoSpaceDE/>
        <w:autoSpaceDN/>
        <w:bidi w:val="0"/>
        <w:adjustRightInd/>
        <w:snapToGrid/>
        <w:spacing w:before="0" w:beforeLines="50" w:after="0" w:afterLines="50" w:line="420" w:lineRule="atLeast"/>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为了公共利益的需要；</w:t>
      </w:r>
    </w:p>
    <w:p>
      <w:pPr>
        <w:pageBreakBefore w:val="0"/>
        <w:numPr>
          <w:ilvl w:val="0"/>
          <w:numId w:val="3"/>
        </w:numPr>
        <w:kinsoku/>
        <w:wordWrap/>
        <w:overflowPunct/>
        <w:topLinePunct w:val="0"/>
        <w:autoSpaceDE/>
        <w:autoSpaceDN/>
        <w:bidi w:val="0"/>
        <w:adjustRightInd/>
        <w:snapToGrid/>
        <w:spacing w:before="0" w:beforeLines="50" w:after="0" w:afterLines="50" w:line="420" w:lineRule="atLeast"/>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依照法律确定的程序；</w:t>
      </w:r>
    </w:p>
    <w:p>
      <w:pPr>
        <w:pageBreakBefore w:val="0"/>
        <w:numPr>
          <w:ilvl w:val="0"/>
          <w:numId w:val="3"/>
        </w:numPr>
        <w:kinsoku/>
        <w:wordWrap/>
        <w:overflowPunct/>
        <w:topLinePunct w:val="0"/>
        <w:autoSpaceDE/>
        <w:autoSpaceDN/>
        <w:bidi w:val="0"/>
        <w:adjustRightInd/>
        <w:snapToGrid/>
        <w:spacing w:before="0" w:beforeLines="50" w:after="0" w:afterLines="50" w:line="420" w:lineRule="atLeast"/>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在非歧视的基础上；及</w:t>
      </w:r>
    </w:p>
    <w:p>
      <w:pPr>
        <w:pageBreakBefore w:val="0"/>
        <w:numPr>
          <w:ilvl w:val="0"/>
          <w:numId w:val="3"/>
        </w:numPr>
        <w:kinsoku/>
        <w:wordWrap/>
        <w:overflowPunct/>
        <w:topLinePunct w:val="0"/>
        <w:autoSpaceDE/>
        <w:autoSpaceDN/>
        <w:bidi w:val="0"/>
        <w:adjustRightInd/>
        <w:snapToGrid/>
        <w:spacing w:before="0" w:beforeLines="50" w:after="0" w:afterLines="50" w:line="420" w:lineRule="atLeast"/>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给予补偿。</w:t>
      </w:r>
    </w:p>
    <w:p>
      <w:pPr>
        <w:pageBreakBefore w:val="0"/>
        <w:kinsoku/>
        <w:wordWrap/>
        <w:overflowPunct/>
        <w:topLinePunct w:val="0"/>
        <w:autoSpaceDE/>
        <w:autoSpaceDN/>
        <w:bidi w:val="0"/>
        <w:adjustRightInd/>
        <w:snapToGrid/>
        <w:spacing w:before="0" w:beforeLines="50" w:after="0" w:afterLines="50" w:line="420" w:lineRule="atLeast"/>
        <w:ind w:firstLine="480" w:firstLineChars="200"/>
        <w:textAlignment w:val="auto"/>
        <w:rPr>
          <w:rFonts w:hint="default" w:ascii="Times New Roman" w:hAnsi="Times New Roman" w:eastAsia="宋体" w:cs="Times New Roman"/>
          <w:bCs/>
          <w:sz w:val="24"/>
          <w:szCs w:val="24"/>
        </w:rPr>
      </w:pPr>
      <w:r>
        <w:rPr>
          <w:rFonts w:hint="default" w:ascii="Times New Roman" w:hAnsi="Times New Roman" w:eastAsia="宋体" w:cs="Times New Roman"/>
          <w:sz w:val="24"/>
          <w:szCs w:val="24"/>
        </w:rPr>
        <w:t>征收的补偿应根据投资“在通过或宣布征收决定前一天的实际价值计算”。</w:t>
      </w:r>
      <w:r>
        <w:rPr>
          <w:rFonts w:hint="default" w:ascii="Times New Roman" w:hAnsi="Times New Roman" w:eastAsia="宋体" w:cs="Times New Roman"/>
          <w:b/>
          <w:sz w:val="24"/>
          <w:szCs w:val="24"/>
        </w:rPr>
        <w:t>中亚BIT</w:t>
      </w:r>
      <w:r>
        <w:rPr>
          <w:rFonts w:hint="default" w:ascii="Times New Roman" w:hAnsi="Times New Roman" w:eastAsia="宋体" w:cs="Times New Roman"/>
          <w:bCs/>
          <w:sz w:val="24"/>
          <w:szCs w:val="24"/>
        </w:rPr>
        <w:t>并未明确财产“实际价值”的计算标准。</w:t>
      </w:r>
    </w:p>
    <w:p>
      <w:pPr>
        <w:pageBreakBefore w:val="0"/>
        <w:kinsoku/>
        <w:wordWrap/>
        <w:overflowPunct/>
        <w:topLinePunct w:val="0"/>
        <w:autoSpaceDE/>
        <w:autoSpaceDN/>
        <w:bidi w:val="0"/>
        <w:adjustRightInd/>
        <w:snapToGrid/>
        <w:spacing w:before="0" w:beforeLines="50" w:after="0" w:afterLines="50" w:line="420" w:lineRule="atLeast"/>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补偿的支付不应无故延迟，并应可兑换和自由转移回投资者母国。</w:t>
      </w:r>
    </w:p>
    <w:p>
      <w:pPr>
        <w:pStyle w:val="3"/>
        <w:pageBreakBefore w:val="0"/>
        <w:kinsoku/>
        <w:wordWrap/>
        <w:overflowPunct/>
        <w:topLinePunct w:val="0"/>
        <w:autoSpaceDE/>
        <w:autoSpaceDN/>
        <w:bidi w:val="0"/>
        <w:adjustRightInd/>
        <w:snapToGrid/>
        <w:spacing w:before="0" w:beforeLines="50" w:after="0" w:afterLines="50" w:line="420" w:lineRule="atLeast"/>
        <w:ind w:firstLine="482"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（三）代位</w:t>
      </w:r>
    </w:p>
    <w:p>
      <w:pPr>
        <w:pageBreakBefore w:val="0"/>
        <w:kinsoku/>
        <w:wordWrap/>
        <w:overflowPunct/>
        <w:topLinePunct w:val="0"/>
        <w:autoSpaceDE/>
        <w:autoSpaceDN/>
        <w:bidi w:val="0"/>
        <w:adjustRightInd/>
        <w:snapToGrid/>
        <w:spacing w:before="0" w:beforeLines="50" w:after="0" w:afterLines="50" w:line="420" w:lineRule="atLeast"/>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根据</w:t>
      </w:r>
      <w:r>
        <w:rPr>
          <w:rFonts w:hint="default" w:ascii="Times New Roman" w:hAnsi="Times New Roman" w:eastAsia="宋体" w:cs="Times New Roman"/>
          <w:b/>
          <w:bCs/>
          <w:sz w:val="24"/>
          <w:szCs w:val="24"/>
        </w:rPr>
        <w:t>中亚BIT</w:t>
      </w:r>
      <w:r>
        <w:rPr>
          <w:rFonts w:hint="default" w:ascii="Times New Roman" w:hAnsi="Times New Roman" w:eastAsia="宋体" w:cs="Times New Roman"/>
          <w:sz w:val="24"/>
          <w:szCs w:val="24"/>
        </w:rPr>
        <w:t>第4条第3款规定，若中国投资者在亚美尼亚领土内的投资，因“战争、紧急状态、国内骚乱或其他类似情况”而遭受损失，如果亚美尼亚对中国投资者采取补偿损失的措施或其他有关措施，不应低于亚美尼亚政府给予第三国投资者的待遇。需要注意的是，对投资者因“</w:t>
      </w:r>
      <w:r>
        <w:rPr>
          <w:rFonts w:hint="default" w:ascii="Times New Roman" w:hAnsi="Times New Roman" w:eastAsia="宋体" w:cs="Times New Roman"/>
          <w:sz w:val="24"/>
          <w:szCs w:val="24"/>
          <w:lang w:val="en-US" w:eastAsia="zh-CN"/>
        </w:rPr>
        <w:t>战争、紧急状态、国内骚乱或其他类似情况</w:t>
      </w:r>
      <w:r>
        <w:rPr>
          <w:rFonts w:hint="default" w:ascii="Times New Roman" w:hAnsi="Times New Roman" w:eastAsia="宋体" w:cs="Times New Roman"/>
          <w:sz w:val="24"/>
          <w:szCs w:val="24"/>
        </w:rPr>
        <w:t>”遭受的损失，亚美尼亚并不负有必须进行补偿的义务，仅是在亚美尼亚愿意作出补偿时，投资者才享有“最惠国待遇”标准。针对这种情况，笔者通常建议我国投资者可利用我国的海外投资保险制度，承保海外投资保险，尤其是“战争及政治暴乱”险</w:t>
      </w:r>
      <w:r>
        <w:rPr>
          <w:rFonts w:hint="default" w:ascii="Times New Roman" w:hAnsi="Times New Roman" w:eastAsia="宋体" w:cs="Times New Roman"/>
          <w:sz w:val="24"/>
          <w:szCs w:val="24"/>
        </w:rPr>
        <w:footnoteReference w:id="4"/>
      </w:r>
      <w:r>
        <w:rPr>
          <w:rFonts w:hint="default" w:ascii="Times New Roman" w:hAnsi="Times New Roman" w:eastAsia="宋体" w:cs="Times New Roman"/>
          <w:sz w:val="24"/>
          <w:szCs w:val="24"/>
        </w:rPr>
        <w:t>，以确保发生暴乱风险时造成投资的损失能获得保险赔付。</w:t>
      </w:r>
      <w:r>
        <w:rPr>
          <w:rFonts w:hint="eastAsia" w:ascii="Times New Roman" w:hAnsi="Times New Roman" w:eastAsia="宋体" w:cs="Times New Roman"/>
          <w:sz w:val="24"/>
          <w:szCs w:val="24"/>
          <w:lang w:val="en-US" w:eastAsia="zh-CN"/>
        </w:rPr>
        <w:t>保险赔付后，根据</w:t>
      </w:r>
      <w:r>
        <w:rPr>
          <w:rFonts w:hint="default" w:ascii="Times New Roman" w:hAnsi="Times New Roman" w:eastAsia="宋体" w:cs="Times New Roman"/>
          <w:b/>
          <w:bCs/>
          <w:sz w:val="24"/>
          <w:szCs w:val="24"/>
        </w:rPr>
        <w:t>中亚BIT</w:t>
      </w:r>
      <w:r>
        <w:rPr>
          <w:rFonts w:hint="default" w:ascii="Times New Roman" w:hAnsi="Times New Roman" w:eastAsia="宋体" w:cs="Times New Roman"/>
          <w:sz w:val="24"/>
          <w:szCs w:val="24"/>
        </w:rPr>
        <w:t>第5条关于代位权的条款：</w:t>
      </w:r>
    </w:p>
    <w:p>
      <w:pPr>
        <w:pageBreakBefore w:val="0"/>
        <w:kinsoku/>
        <w:wordWrap/>
        <w:overflowPunct/>
        <w:topLinePunct w:val="0"/>
        <w:autoSpaceDE/>
        <w:autoSpaceDN/>
        <w:bidi w:val="0"/>
        <w:adjustRightInd/>
        <w:snapToGrid/>
        <w:spacing w:before="0" w:beforeLines="50" w:after="0" w:afterLines="50" w:line="420" w:lineRule="atLeast"/>
        <w:ind w:firstLine="480" w:firstLineChars="200"/>
        <w:textAlignment w:val="auto"/>
        <w:rPr>
          <w:rFonts w:hint="default" w:ascii="Times New Roman" w:hAnsi="Times New Roman" w:eastAsia="宋体" w:cs="Times New Roman"/>
          <w:i/>
          <w:iCs/>
          <w:sz w:val="24"/>
          <w:szCs w:val="24"/>
        </w:rPr>
      </w:pPr>
      <w:r>
        <w:rPr>
          <w:rFonts w:hint="default" w:ascii="Times New Roman" w:hAnsi="Times New Roman" w:eastAsia="宋体" w:cs="Times New Roman"/>
          <w:i/>
          <w:iCs/>
          <w:sz w:val="24"/>
          <w:szCs w:val="24"/>
        </w:rPr>
        <w:t>“如果</w:t>
      </w:r>
      <w:r>
        <w:rPr>
          <w:rFonts w:hint="default" w:ascii="Times New Roman" w:hAnsi="Times New Roman" w:eastAsia="宋体" w:cs="Times New Roman"/>
          <w:i/>
          <w:iCs/>
          <w:sz w:val="24"/>
          <w:szCs w:val="24"/>
          <w:u w:val="single"/>
        </w:rPr>
        <w:t>缔约一方</w:t>
      </w:r>
      <w:r>
        <w:rPr>
          <w:rFonts w:hint="default" w:ascii="Times New Roman" w:hAnsi="Times New Roman" w:eastAsia="宋体" w:cs="Times New Roman"/>
          <w:i/>
          <w:iCs/>
          <w:sz w:val="24"/>
          <w:szCs w:val="24"/>
        </w:rPr>
        <w:t>对其投资者在缔约另一方领土内的投资提供了非商业性风险的财政担保，并且据此进行了支付，则缔约另一方应在代位原则基础上承认该投资者的权利转移给了缔约前者一方。”</w:t>
      </w:r>
    </w:p>
    <w:p>
      <w:pPr>
        <w:pageBreakBefore w:val="0"/>
        <w:kinsoku/>
        <w:wordWrap/>
        <w:overflowPunct/>
        <w:topLinePunct w:val="0"/>
        <w:autoSpaceDE/>
        <w:autoSpaceDN/>
        <w:bidi w:val="0"/>
        <w:adjustRightInd/>
        <w:snapToGrid/>
        <w:spacing w:before="0" w:beforeLines="50" w:after="0" w:afterLines="50" w:line="420" w:lineRule="atLeast"/>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和中国与其它国家签订的BIT中约定的代位条款不同的是，</w:t>
      </w:r>
      <w:r>
        <w:rPr>
          <w:rFonts w:hint="default" w:ascii="Times New Roman" w:hAnsi="Times New Roman" w:eastAsia="宋体" w:cs="Times New Roman"/>
          <w:b/>
          <w:bCs/>
          <w:sz w:val="24"/>
          <w:szCs w:val="24"/>
        </w:rPr>
        <w:t>中亚BIT</w:t>
      </w:r>
      <w:r>
        <w:rPr>
          <w:rFonts w:hint="default" w:ascii="Times New Roman" w:hAnsi="Times New Roman" w:eastAsia="宋体" w:cs="Times New Roman"/>
          <w:sz w:val="24"/>
          <w:szCs w:val="24"/>
        </w:rPr>
        <w:t>将保险人，即有权代位求偿的人限定为“缔约一方”，即中国政府，而以</w:t>
      </w:r>
      <w:r>
        <w:rPr>
          <w:rFonts w:hint="default" w:ascii="Times New Roman" w:hAnsi="Times New Roman" w:eastAsia="宋体" w:cs="Times New Roman"/>
          <w:b/>
          <w:bCs/>
          <w:sz w:val="24"/>
          <w:szCs w:val="24"/>
        </w:rPr>
        <w:t>中印BIT</w:t>
      </w:r>
      <w:r>
        <w:rPr>
          <w:rFonts w:hint="default" w:ascii="Times New Roman" w:hAnsi="Times New Roman" w:eastAsia="宋体" w:cs="Times New Roman"/>
          <w:b w:val="0"/>
          <w:bCs w:val="0"/>
          <w:sz w:val="24"/>
          <w:szCs w:val="24"/>
        </w:rPr>
        <w:t>为例，</w:t>
      </w:r>
      <w:r>
        <w:rPr>
          <w:rFonts w:hint="default" w:ascii="Times New Roman" w:hAnsi="Times New Roman" w:eastAsia="宋体" w:cs="Times New Roman"/>
          <w:sz w:val="24"/>
          <w:szCs w:val="24"/>
        </w:rPr>
        <w:t>保险人，即有权代位求偿的人表述为“缔约一方或其指定的机构”。笔者认为，中国出口信用保险公司是由国家出资设立、具有独立法人地位的国有政策性保险公司</w:t>
      </w:r>
      <w:r>
        <w:rPr>
          <w:rStyle w:val="19"/>
          <w:rFonts w:hint="default" w:ascii="Times New Roman" w:hAnsi="Times New Roman" w:eastAsia="宋体" w:cs="Times New Roman"/>
          <w:sz w:val="24"/>
          <w:szCs w:val="24"/>
        </w:rPr>
        <w:footnoteReference w:id="5"/>
      </w:r>
      <w:r>
        <w:rPr>
          <w:rFonts w:hint="default" w:ascii="Times New Roman" w:hAnsi="Times New Roman" w:eastAsia="宋体" w:cs="Times New Roman"/>
          <w:sz w:val="24"/>
          <w:szCs w:val="24"/>
        </w:rPr>
        <w:t>，不属于政府机关，当属政府“指定的机构”。在</w:t>
      </w:r>
      <w:r>
        <w:rPr>
          <w:rFonts w:hint="default" w:ascii="Times New Roman" w:hAnsi="Times New Roman" w:eastAsia="宋体" w:cs="Times New Roman"/>
          <w:b/>
          <w:bCs/>
          <w:sz w:val="24"/>
          <w:szCs w:val="24"/>
        </w:rPr>
        <w:t>中亚BIT</w:t>
      </w:r>
      <w:r>
        <w:rPr>
          <w:rFonts w:hint="default" w:ascii="Times New Roman" w:hAnsi="Times New Roman" w:eastAsia="宋体" w:cs="Times New Roman"/>
          <w:sz w:val="24"/>
          <w:szCs w:val="24"/>
        </w:rPr>
        <w:t>将保险人</w:t>
      </w:r>
      <w:r>
        <w:rPr>
          <w:rFonts w:hint="default" w:ascii="Times New Roman" w:hAnsi="Times New Roman" w:eastAsia="宋体" w:cs="Times New Roman"/>
          <w:b w:val="0"/>
          <w:bCs w:val="0"/>
          <w:sz w:val="24"/>
          <w:szCs w:val="24"/>
        </w:rPr>
        <w:t>仅</w:t>
      </w:r>
      <w:r>
        <w:rPr>
          <w:rFonts w:hint="default" w:ascii="Times New Roman" w:hAnsi="Times New Roman" w:eastAsia="宋体" w:cs="Times New Roman"/>
          <w:sz w:val="24"/>
          <w:szCs w:val="24"/>
        </w:rPr>
        <w:t>限定为“缔约一方”的情况下，我国投资者投保中国出口信用保险公司的海外投资保险产品</w:t>
      </w:r>
      <w:r>
        <w:rPr>
          <w:rStyle w:val="19"/>
          <w:rFonts w:hint="default" w:ascii="Times New Roman" w:hAnsi="Times New Roman" w:eastAsia="宋体" w:cs="Times New Roman"/>
          <w:sz w:val="24"/>
          <w:szCs w:val="24"/>
        </w:rPr>
        <w:footnoteReference w:id="6"/>
      </w:r>
      <w:r>
        <w:rPr>
          <w:rFonts w:hint="default" w:ascii="Times New Roman" w:hAnsi="Times New Roman" w:eastAsia="宋体" w:cs="Times New Roman"/>
          <w:sz w:val="24"/>
          <w:szCs w:val="24"/>
        </w:rPr>
        <w:t>，中国出口信用保险公司承保后，代位权能否受到亚美尼亚政府或ICSID仲裁庭认可或成争议。笔者认为，海外投资保险是我国通过政策性金融机构，为鼓励我国投资者对外投资，设立的非商业性质保险，从交易实质而言，应当适用BIT中的代位权条款。</w:t>
      </w:r>
      <w:r>
        <w:rPr>
          <w:rStyle w:val="19"/>
          <w:rFonts w:hint="default" w:ascii="Times New Roman" w:hAnsi="Times New Roman" w:eastAsia="宋体" w:cs="Times New Roman"/>
          <w:sz w:val="24"/>
          <w:szCs w:val="24"/>
        </w:rPr>
        <w:footnoteReference w:id="7"/>
      </w:r>
      <w:r>
        <w:rPr>
          <w:rFonts w:hint="default" w:ascii="Times New Roman" w:hAnsi="Times New Roman" w:eastAsia="宋体" w:cs="Times New Roman"/>
          <w:sz w:val="24"/>
          <w:szCs w:val="24"/>
        </w:rPr>
        <w:t>建议我国投资者在与亚美尼亚政府签订投资协议时，明确代位权的适用与取得范围，通过约定的形式消除该不确定风险。</w:t>
      </w:r>
    </w:p>
    <w:p>
      <w:pPr>
        <w:pageBreakBefore w:val="0"/>
        <w:kinsoku/>
        <w:wordWrap/>
        <w:overflowPunct/>
        <w:topLinePunct w:val="0"/>
        <w:autoSpaceDE/>
        <w:autoSpaceDN/>
        <w:bidi w:val="0"/>
        <w:adjustRightInd/>
        <w:snapToGrid/>
        <w:spacing w:before="0" w:beforeLines="50" w:after="0" w:afterLines="50" w:line="420" w:lineRule="atLeast"/>
        <w:ind w:firstLine="480" w:firstLineChars="200"/>
        <w:textAlignment w:val="auto"/>
        <w:rPr>
          <w:rFonts w:hint="default" w:ascii="Times New Roman" w:hAnsi="Times New Roman" w:eastAsia="宋体" w:cs="Times New Roman"/>
          <w:sz w:val="24"/>
          <w:szCs w:val="24"/>
        </w:rPr>
      </w:pPr>
    </w:p>
    <w:p>
      <w:pPr>
        <w:pStyle w:val="3"/>
        <w:pageBreakBefore w:val="0"/>
        <w:tabs>
          <w:tab w:val="left" w:pos="2688"/>
        </w:tabs>
        <w:kinsoku/>
        <w:wordWrap/>
        <w:overflowPunct/>
        <w:topLinePunct w:val="0"/>
        <w:autoSpaceDE/>
        <w:autoSpaceDN/>
        <w:bidi w:val="0"/>
        <w:adjustRightInd/>
        <w:snapToGrid/>
        <w:spacing w:before="0" w:beforeLines="50" w:after="0" w:afterLines="50" w:line="420" w:lineRule="atLeast"/>
        <w:ind w:firstLine="482"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（三）投资者与东道国争议解决</w:t>
      </w:r>
    </w:p>
    <w:p>
      <w:pPr>
        <w:pageBreakBefore w:val="0"/>
        <w:kinsoku/>
        <w:wordWrap/>
        <w:overflowPunct/>
        <w:topLinePunct w:val="0"/>
        <w:autoSpaceDE/>
        <w:autoSpaceDN/>
        <w:bidi w:val="0"/>
        <w:adjustRightInd/>
        <w:snapToGrid/>
        <w:spacing w:before="0" w:beforeLines="50" w:after="0" w:afterLines="50" w:line="420" w:lineRule="atLeast"/>
        <w:ind w:firstLine="482"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b/>
          <w:sz w:val="24"/>
          <w:szCs w:val="24"/>
        </w:rPr>
        <w:t>中亚BIT</w:t>
      </w:r>
      <w:r>
        <w:rPr>
          <w:rFonts w:hint="default" w:ascii="Times New Roman" w:hAnsi="Times New Roman" w:eastAsia="宋体" w:cs="Times New Roman"/>
          <w:sz w:val="24"/>
          <w:szCs w:val="24"/>
        </w:rPr>
        <w:t>第10条规定：</w:t>
      </w:r>
    </w:p>
    <w:p>
      <w:pPr>
        <w:pageBreakBefore w:val="0"/>
        <w:kinsoku/>
        <w:wordWrap/>
        <w:overflowPunct/>
        <w:topLinePunct w:val="0"/>
        <w:autoSpaceDE/>
        <w:autoSpaceDN/>
        <w:bidi w:val="0"/>
        <w:adjustRightInd/>
        <w:snapToGrid/>
        <w:spacing w:before="0" w:beforeLines="50" w:after="0" w:afterLines="50" w:line="420" w:lineRule="atLeast"/>
        <w:ind w:left="567" w:leftChars="270"/>
        <w:textAlignment w:val="auto"/>
        <w:rPr>
          <w:rFonts w:hint="default" w:ascii="Times New Roman" w:hAnsi="Times New Roman" w:eastAsia="宋体" w:cs="Times New Roman"/>
          <w:i/>
          <w:iCs/>
          <w:sz w:val="24"/>
          <w:szCs w:val="24"/>
        </w:rPr>
      </w:pPr>
      <w:r>
        <w:rPr>
          <w:rFonts w:hint="default" w:ascii="Times New Roman" w:hAnsi="Times New Roman" w:eastAsia="宋体" w:cs="Times New Roman"/>
          <w:i/>
          <w:iCs/>
          <w:sz w:val="24"/>
          <w:szCs w:val="24"/>
        </w:rPr>
        <w:t>“一、</w:t>
      </w:r>
      <w:r>
        <w:rPr>
          <w:rFonts w:hint="default" w:ascii="Times New Roman" w:hAnsi="Times New Roman" w:eastAsia="宋体" w:cs="Times New Roman"/>
          <w:i/>
          <w:iCs/>
          <w:sz w:val="24"/>
          <w:szCs w:val="24"/>
          <w:lang w:val="en-US" w:eastAsia="zh-CN"/>
        </w:rPr>
        <w:t>缔约一方与缔约另一方投资者之间有关征收补偿数额的争议可提交仲裁庭。</w:t>
      </w:r>
    </w:p>
    <w:p>
      <w:pPr>
        <w:pageBreakBefore w:val="0"/>
        <w:kinsoku/>
        <w:wordWrap/>
        <w:overflowPunct/>
        <w:topLinePunct w:val="0"/>
        <w:autoSpaceDE/>
        <w:autoSpaceDN/>
        <w:bidi w:val="0"/>
        <w:adjustRightInd/>
        <w:snapToGrid/>
        <w:spacing w:before="0" w:beforeLines="50" w:after="0" w:afterLines="50" w:line="420" w:lineRule="atLeast"/>
        <w:ind w:left="567" w:leftChars="270"/>
        <w:textAlignment w:val="auto"/>
        <w:rPr>
          <w:rFonts w:hint="default" w:ascii="Times New Roman" w:hAnsi="Times New Roman" w:eastAsia="宋体" w:cs="Times New Roman"/>
          <w:i/>
          <w:iCs/>
          <w:sz w:val="24"/>
          <w:szCs w:val="24"/>
        </w:rPr>
      </w:pPr>
      <w:r>
        <w:rPr>
          <w:rFonts w:hint="default" w:ascii="Times New Roman" w:hAnsi="Times New Roman" w:eastAsia="宋体" w:cs="Times New Roman"/>
          <w:i/>
          <w:iCs/>
          <w:sz w:val="24"/>
          <w:szCs w:val="24"/>
        </w:rPr>
        <w:t>二、</w:t>
      </w:r>
      <w:r>
        <w:rPr>
          <w:rFonts w:hint="default" w:ascii="Times New Roman" w:hAnsi="Times New Roman" w:eastAsia="宋体" w:cs="Times New Roman"/>
          <w:i/>
          <w:iCs/>
          <w:sz w:val="24"/>
          <w:szCs w:val="24"/>
          <w:lang w:val="en-US" w:eastAsia="zh-CN"/>
        </w:rPr>
        <w:t>该仲裁庭应按下列方式逐案设立：争议双方应各任命一名仲裁员，该两名仲裁员推举一名与缔约双方均有外交关系的第三国国民为首席仲裁员。头两名仲裁员应在书面通知争议提交仲裁之日起的两个月内任命，首席仲裁员应在四个月内推选。如在规定的期限内，仲裁庭尚未组成，争议任何一方可提请斯德哥尔摩商会仲裁院主席作出必要的任命。 </w:t>
      </w:r>
    </w:p>
    <w:p>
      <w:pPr>
        <w:pageBreakBefore w:val="0"/>
        <w:kinsoku/>
        <w:wordWrap/>
        <w:overflowPunct/>
        <w:topLinePunct w:val="0"/>
        <w:autoSpaceDE/>
        <w:autoSpaceDN/>
        <w:bidi w:val="0"/>
        <w:adjustRightInd/>
        <w:snapToGrid/>
        <w:spacing w:before="0" w:beforeLines="50" w:after="0" w:afterLines="50" w:line="420" w:lineRule="atLeast"/>
        <w:ind w:left="567" w:leftChars="270"/>
        <w:textAlignment w:val="auto"/>
        <w:rPr>
          <w:rFonts w:hint="default" w:ascii="Times New Roman" w:hAnsi="Times New Roman" w:eastAsia="宋体" w:cs="Times New Roman"/>
          <w:i/>
          <w:iCs/>
          <w:sz w:val="24"/>
          <w:szCs w:val="24"/>
        </w:rPr>
      </w:pPr>
      <w:r>
        <w:rPr>
          <w:rFonts w:hint="default" w:ascii="Times New Roman" w:hAnsi="Times New Roman" w:eastAsia="宋体" w:cs="Times New Roman"/>
          <w:i/>
          <w:iCs/>
          <w:sz w:val="24"/>
          <w:szCs w:val="24"/>
        </w:rPr>
        <w:t>三、仲裁庭应自行制定其程序规则</w:t>
      </w:r>
      <w:r>
        <w:rPr>
          <w:rFonts w:hint="default" w:ascii="Times New Roman" w:hAnsi="Times New Roman" w:eastAsia="宋体" w:cs="Times New Roman"/>
          <w:i/>
          <w:iCs/>
          <w:sz w:val="24"/>
          <w:szCs w:val="24"/>
          <w:lang w:eastAsia="zh-CN"/>
        </w:rPr>
        <w:t>，在此种情况下仲裁庭在制定程序时可以参照斯德哥尔摩商会仲裁院规则。 </w:t>
      </w:r>
    </w:p>
    <w:p>
      <w:pPr>
        <w:pageBreakBefore w:val="0"/>
        <w:kinsoku/>
        <w:wordWrap/>
        <w:overflowPunct/>
        <w:topLinePunct w:val="0"/>
        <w:autoSpaceDE/>
        <w:autoSpaceDN/>
        <w:bidi w:val="0"/>
        <w:adjustRightInd/>
        <w:snapToGrid/>
        <w:spacing w:before="0" w:beforeLines="50" w:after="0" w:afterLines="50" w:line="420" w:lineRule="atLeast"/>
        <w:ind w:left="567" w:leftChars="270"/>
        <w:textAlignment w:val="auto"/>
        <w:rPr>
          <w:rFonts w:hint="default" w:ascii="Times New Roman" w:hAnsi="Times New Roman" w:eastAsia="宋体" w:cs="Times New Roman"/>
          <w:i/>
          <w:iCs/>
          <w:sz w:val="24"/>
          <w:szCs w:val="24"/>
        </w:rPr>
      </w:pPr>
      <w:r>
        <w:rPr>
          <w:rFonts w:hint="default" w:ascii="Times New Roman" w:hAnsi="Times New Roman" w:eastAsia="宋体" w:cs="Times New Roman"/>
          <w:i/>
          <w:iCs/>
          <w:sz w:val="24"/>
          <w:szCs w:val="24"/>
        </w:rPr>
        <w:t>四、仲裁庭的裁决以多数票作出。裁决是终局的，对争议双方具有拘束力。</w:t>
      </w:r>
      <w:r>
        <w:rPr>
          <w:rFonts w:hint="default" w:ascii="Times New Roman" w:hAnsi="Times New Roman" w:eastAsia="宋体" w:cs="Times New Roman"/>
          <w:i/>
          <w:iCs/>
          <w:sz w:val="24"/>
          <w:szCs w:val="24"/>
          <w:lang w:val="en-US" w:eastAsia="zh-CN"/>
        </w:rPr>
        <w:t>缔约每一方根据各自的法律应对执行仲裁庭裁决承担义务。 </w:t>
      </w:r>
    </w:p>
    <w:p>
      <w:pPr>
        <w:pageBreakBefore w:val="0"/>
        <w:kinsoku/>
        <w:wordWrap/>
        <w:overflowPunct/>
        <w:topLinePunct w:val="0"/>
        <w:autoSpaceDE/>
        <w:autoSpaceDN/>
        <w:bidi w:val="0"/>
        <w:adjustRightInd/>
        <w:snapToGrid/>
        <w:spacing w:before="0" w:beforeLines="50" w:after="0" w:afterLines="50" w:line="420" w:lineRule="atLeast"/>
        <w:ind w:left="567" w:leftChars="270"/>
        <w:textAlignment w:val="auto"/>
        <w:rPr>
          <w:rFonts w:hint="default" w:ascii="Times New Roman" w:hAnsi="Times New Roman" w:eastAsia="宋体" w:cs="Times New Roman"/>
          <w:i/>
          <w:iCs/>
          <w:sz w:val="24"/>
          <w:szCs w:val="24"/>
        </w:rPr>
      </w:pPr>
      <w:r>
        <w:rPr>
          <w:rFonts w:hint="default" w:ascii="Times New Roman" w:hAnsi="Times New Roman" w:eastAsia="宋体" w:cs="Times New Roman"/>
          <w:i/>
          <w:iCs/>
          <w:sz w:val="24"/>
          <w:szCs w:val="24"/>
        </w:rPr>
        <w:t>五、仲裁庭应根据本协定规定、</w:t>
      </w:r>
      <w:r>
        <w:rPr>
          <w:rFonts w:hint="default" w:ascii="Times New Roman" w:hAnsi="Times New Roman" w:eastAsia="宋体" w:cs="Times New Roman"/>
          <w:i/>
          <w:iCs/>
          <w:sz w:val="24"/>
          <w:szCs w:val="24"/>
          <w:lang w:val="en-US" w:eastAsia="zh-CN"/>
        </w:rPr>
        <w:t>在其领土内进行投资的缔约一方的法律和法规（包括其冲突规范）以及公认的国际法原则作出裁决。 </w:t>
      </w:r>
    </w:p>
    <w:p>
      <w:pPr>
        <w:pageBreakBefore w:val="0"/>
        <w:kinsoku/>
        <w:wordWrap/>
        <w:overflowPunct/>
        <w:topLinePunct w:val="0"/>
        <w:autoSpaceDE/>
        <w:autoSpaceDN/>
        <w:bidi w:val="0"/>
        <w:adjustRightInd/>
        <w:snapToGrid/>
        <w:spacing w:before="0" w:beforeLines="50" w:after="0" w:afterLines="50" w:line="420" w:lineRule="atLeast"/>
        <w:ind w:left="567" w:leftChars="270"/>
        <w:textAlignment w:val="auto"/>
        <w:rPr>
          <w:rFonts w:hint="default" w:ascii="Times New Roman" w:hAnsi="Times New Roman" w:eastAsia="宋体" w:cs="Times New Roman"/>
          <w:i/>
          <w:iCs/>
          <w:sz w:val="24"/>
          <w:szCs w:val="24"/>
        </w:rPr>
      </w:pPr>
      <w:r>
        <w:rPr>
          <w:rFonts w:hint="default" w:ascii="Times New Roman" w:hAnsi="Times New Roman" w:eastAsia="宋体" w:cs="Times New Roman"/>
          <w:i/>
          <w:iCs/>
          <w:sz w:val="24"/>
          <w:szCs w:val="24"/>
        </w:rPr>
        <w:t>六、</w:t>
      </w:r>
      <w:r>
        <w:rPr>
          <w:rFonts w:hint="default" w:ascii="Times New Roman" w:hAnsi="Times New Roman" w:eastAsia="宋体" w:cs="Times New Roman"/>
          <w:i/>
          <w:iCs/>
          <w:sz w:val="24"/>
          <w:szCs w:val="24"/>
          <w:lang w:val="en-US" w:eastAsia="zh-CN"/>
        </w:rPr>
        <w:t>争议每一方应负担与其任命的仲裁员活动有关的费用及参加仲裁程序代表的费用，与首席仲裁员活动有关的费用及其他费用应由争议双方平均负担。</w:t>
      </w:r>
      <w:r>
        <w:rPr>
          <w:rFonts w:hint="default" w:ascii="Times New Roman" w:hAnsi="Times New Roman" w:eastAsia="宋体" w:cs="Times New Roman"/>
          <w:i/>
          <w:iCs/>
          <w:sz w:val="24"/>
          <w:szCs w:val="24"/>
        </w:rPr>
        <w:t>”</w:t>
      </w:r>
    </w:p>
    <w:p>
      <w:pPr>
        <w:pStyle w:val="33"/>
        <w:pageBreakBefore w:val="0"/>
        <w:numPr>
          <w:ilvl w:val="255"/>
          <w:numId w:val="0"/>
        </w:numPr>
        <w:kinsoku/>
        <w:wordWrap/>
        <w:overflowPunct/>
        <w:topLinePunct w:val="0"/>
        <w:autoSpaceDE/>
        <w:autoSpaceDN/>
        <w:bidi w:val="0"/>
        <w:adjustRightInd/>
        <w:snapToGrid/>
        <w:spacing w:before="0" w:beforeLines="50" w:after="0" w:afterLines="50" w:line="420" w:lineRule="atLeast"/>
        <w:textAlignment w:val="auto"/>
        <w:rPr>
          <w:rFonts w:hint="default" w:ascii="Times New Roman" w:hAnsi="Times New Roman" w:eastAsia="宋体" w:cs="Times New Roman"/>
          <w:b/>
          <w:bCs/>
          <w:sz w:val="24"/>
          <w:szCs w:val="24"/>
        </w:rPr>
      </w:pPr>
    </w:p>
    <w:p>
      <w:pPr>
        <w:pStyle w:val="33"/>
        <w:pageBreakBefore w:val="0"/>
        <w:numPr>
          <w:ilvl w:val="3"/>
          <w:numId w:val="4"/>
        </w:numPr>
        <w:kinsoku/>
        <w:wordWrap/>
        <w:overflowPunct/>
        <w:topLinePunct w:val="0"/>
        <w:autoSpaceDE/>
        <w:autoSpaceDN/>
        <w:bidi w:val="0"/>
        <w:adjustRightInd/>
        <w:snapToGrid/>
        <w:spacing w:before="0" w:beforeLines="50" w:after="0" w:afterLines="50" w:line="420" w:lineRule="atLeast"/>
        <w:ind w:left="851" w:hanging="425" w:firstLineChars="0"/>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投资争议类型</w:t>
      </w:r>
    </w:p>
    <w:p>
      <w:pPr>
        <w:pageBreakBefore w:val="0"/>
        <w:kinsoku/>
        <w:wordWrap/>
        <w:overflowPunct/>
        <w:topLinePunct w:val="0"/>
        <w:autoSpaceDE/>
        <w:autoSpaceDN/>
        <w:bidi w:val="0"/>
        <w:adjustRightInd/>
        <w:snapToGrid/>
        <w:spacing w:before="0" w:beforeLines="50" w:after="0" w:afterLines="50" w:line="420" w:lineRule="atLeast"/>
        <w:ind w:firstLine="480" w:firstLineChars="200"/>
        <w:textAlignment w:val="auto"/>
        <w:rPr>
          <w:rFonts w:hint="default" w:ascii="Times New Roman" w:hAnsi="Times New Roman" w:eastAsia="宋体" w:cs="Times New Roman"/>
          <w:bCs/>
          <w:sz w:val="24"/>
          <w:szCs w:val="24"/>
        </w:rPr>
      </w:pPr>
      <w:r>
        <w:rPr>
          <w:rFonts w:hint="default" w:ascii="Times New Roman" w:hAnsi="Times New Roman" w:eastAsia="宋体" w:cs="Times New Roman"/>
          <w:sz w:val="24"/>
          <w:szCs w:val="24"/>
        </w:rPr>
        <w:t>从投资争议类型来看，</w:t>
      </w:r>
      <w:r>
        <w:rPr>
          <w:rFonts w:hint="default" w:ascii="Times New Roman" w:hAnsi="Times New Roman" w:eastAsia="宋体" w:cs="Times New Roman"/>
          <w:b/>
          <w:sz w:val="24"/>
          <w:szCs w:val="24"/>
        </w:rPr>
        <w:t>中亚BIT</w:t>
      </w:r>
      <w:r>
        <w:rPr>
          <w:rFonts w:hint="default" w:ascii="Times New Roman" w:hAnsi="Times New Roman" w:eastAsia="宋体" w:cs="Times New Roman"/>
          <w:sz w:val="24"/>
          <w:szCs w:val="24"/>
        </w:rPr>
        <w:t>签订于1992年，时间较早，可提交仲裁的争议类型限定为“有关征收补偿数额的争议”。需要提醒中国投资者注意的是，这条对于争议类型的限制，会导致除有关征收补偿数额的争议外，与投资有关的其它争议都无法通过</w:t>
      </w:r>
      <w:r>
        <w:rPr>
          <w:rFonts w:hint="default" w:ascii="Times New Roman" w:hAnsi="Times New Roman" w:eastAsia="宋体" w:cs="Times New Roman"/>
          <w:b/>
          <w:sz w:val="24"/>
          <w:szCs w:val="24"/>
        </w:rPr>
        <w:t>中亚BIT</w:t>
      </w:r>
      <w:r>
        <w:rPr>
          <w:rFonts w:hint="default" w:ascii="Times New Roman" w:hAnsi="Times New Roman" w:eastAsia="宋体" w:cs="Times New Roman"/>
          <w:bCs/>
          <w:sz w:val="24"/>
          <w:szCs w:val="24"/>
        </w:rPr>
        <w:t>提交仲裁。</w:t>
      </w:r>
    </w:p>
    <w:p>
      <w:pPr>
        <w:pageBreakBefore w:val="0"/>
        <w:kinsoku/>
        <w:wordWrap/>
        <w:overflowPunct/>
        <w:topLinePunct w:val="0"/>
        <w:autoSpaceDE/>
        <w:autoSpaceDN/>
        <w:bidi w:val="0"/>
        <w:adjustRightInd/>
        <w:snapToGrid/>
        <w:spacing w:before="0" w:beforeLines="50" w:after="0" w:afterLines="50" w:line="420" w:lineRule="atLeast"/>
        <w:ind w:firstLine="480" w:firstLineChars="200"/>
        <w:textAlignment w:val="auto"/>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rPr>
        <w:t>在中国对外签订的第一代BIT中，对可提交仲裁的争议类型都做出了与</w:t>
      </w:r>
      <w:r>
        <w:rPr>
          <w:rFonts w:hint="default" w:ascii="Times New Roman" w:hAnsi="Times New Roman" w:eastAsia="宋体" w:cs="Times New Roman"/>
          <w:b/>
          <w:sz w:val="24"/>
          <w:szCs w:val="24"/>
        </w:rPr>
        <w:t>中亚BIT</w:t>
      </w:r>
      <w:r>
        <w:rPr>
          <w:rFonts w:hint="default" w:ascii="Times New Roman" w:hAnsi="Times New Roman" w:eastAsia="宋体" w:cs="Times New Roman"/>
          <w:bCs/>
          <w:sz w:val="24"/>
          <w:szCs w:val="24"/>
        </w:rPr>
        <w:t>类似的规定，限定在“与征收款项有关”或“与征收补偿款额有关”等。随着我国政府对国际投资仲裁的认知及接受度的提升，2000年后中国对外签订的BIT进入第二代，对可提交国际仲裁的投资争议类型也作出了扩大，如“与投资有关的争议”等。建议在</w:t>
      </w:r>
      <w:r>
        <w:rPr>
          <w:rFonts w:hint="default" w:ascii="Times New Roman" w:hAnsi="Times New Roman" w:eastAsia="宋体" w:cs="Times New Roman"/>
          <w:b/>
          <w:sz w:val="24"/>
          <w:szCs w:val="24"/>
        </w:rPr>
        <w:t>中亚BIT</w:t>
      </w:r>
      <w:r>
        <w:rPr>
          <w:rFonts w:hint="default" w:ascii="Times New Roman" w:hAnsi="Times New Roman" w:eastAsia="宋体" w:cs="Times New Roman"/>
          <w:bCs/>
          <w:sz w:val="24"/>
          <w:szCs w:val="24"/>
        </w:rPr>
        <w:t>修订时，也可作出相应调整，以更全面地保护两国投资者利益。</w:t>
      </w:r>
    </w:p>
    <w:p>
      <w:pPr>
        <w:pageBreakBefore w:val="0"/>
        <w:kinsoku/>
        <w:wordWrap/>
        <w:overflowPunct/>
        <w:topLinePunct w:val="0"/>
        <w:autoSpaceDE/>
        <w:autoSpaceDN/>
        <w:bidi w:val="0"/>
        <w:adjustRightInd/>
        <w:snapToGrid/>
        <w:spacing w:before="0" w:beforeLines="50" w:after="0" w:afterLines="50" w:line="420" w:lineRule="atLeast"/>
        <w:ind w:firstLine="480" w:firstLineChars="200"/>
        <w:textAlignment w:val="auto"/>
        <w:rPr>
          <w:rFonts w:hint="default" w:ascii="Times New Roman" w:hAnsi="Times New Roman" w:eastAsia="宋体" w:cs="Times New Roman"/>
          <w:sz w:val="24"/>
          <w:szCs w:val="24"/>
        </w:rPr>
      </w:pPr>
    </w:p>
    <w:p>
      <w:pPr>
        <w:pStyle w:val="33"/>
        <w:pageBreakBefore w:val="0"/>
        <w:numPr>
          <w:ilvl w:val="3"/>
          <w:numId w:val="4"/>
        </w:numPr>
        <w:kinsoku/>
        <w:wordWrap/>
        <w:overflowPunct/>
        <w:topLinePunct w:val="0"/>
        <w:autoSpaceDE/>
        <w:autoSpaceDN/>
        <w:bidi w:val="0"/>
        <w:adjustRightInd/>
        <w:snapToGrid/>
        <w:spacing w:before="0" w:beforeLines="50" w:after="0" w:afterLines="50" w:line="420" w:lineRule="atLeast"/>
        <w:ind w:left="851" w:hanging="425" w:firstLineChars="0"/>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投资争议解决的途径</w:t>
      </w:r>
    </w:p>
    <w:p>
      <w:pPr>
        <w:pageBreakBefore w:val="0"/>
        <w:kinsoku/>
        <w:wordWrap/>
        <w:overflowPunct/>
        <w:topLinePunct w:val="0"/>
        <w:autoSpaceDE/>
        <w:autoSpaceDN/>
        <w:bidi w:val="0"/>
        <w:adjustRightInd/>
        <w:snapToGrid/>
        <w:spacing w:before="0" w:beforeLines="50" w:after="0" w:afterLines="50" w:line="420" w:lineRule="atLeast"/>
        <w:ind w:firstLine="482" w:firstLineChars="200"/>
        <w:textAlignment w:val="auto"/>
        <w:rPr>
          <w:rFonts w:hint="default" w:ascii="Times New Roman" w:hAnsi="Times New Roman" w:eastAsia="宋体" w:cs="Times New Roman"/>
          <w:bCs/>
          <w:sz w:val="24"/>
          <w:szCs w:val="24"/>
        </w:rPr>
      </w:pPr>
      <w:r>
        <w:rPr>
          <w:rFonts w:hint="default" w:ascii="Times New Roman" w:hAnsi="Times New Roman" w:eastAsia="宋体" w:cs="Times New Roman"/>
          <w:b/>
          <w:sz w:val="24"/>
          <w:szCs w:val="24"/>
        </w:rPr>
        <w:t>中亚BIT</w:t>
      </w:r>
      <w:r>
        <w:rPr>
          <w:rFonts w:hint="default" w:ascii="Times New Roman" w:hAnsi="Times New Roman" w:eastAsia="宋体" w:cs="Times New Roman"/>
          <w:bCs/>
          <w:sz w:val="24"/>
          <w:szCs w:val="24"/>
        </w:rPr>
        <w:t>规定了有关征收款项的争议可提交国际仲裁，并对仲裁庭的组成、仲裁庭的程序等均作出了明确约定，并且仲裁应当适用</w:t>
      </w:r>
      <w:r>
        <w:rPr>
          <w:rFonts w:hint="default" w:ascii="Times New Roman" w:hAnsi="Times New Roman" w:eastAsia="宋体" w:cs="Times New Roman"/>
          <w:b/>
          <w:sz w:val="24"/>
          <w:szCs w:val="24"/>
        </w:rPr>
        <w:t>中亚BIT</w:t>
      </w:r>
      <w:r>
        <w:rPr>
          <w:rFonts w:hint="default" w:ascii="Times New Roman" w:hAnsi="Times New Roman" w:eastAsia="宋体" w:cs="Times New Roman"/>
          <w:bCs/>
          <w:sz w:val="24"/>
          <w:szCs w:val="24"/>
        </w:rPr>
        <w:t>、东道国法律，及公认的国际法原则。我国投资者在亚美尼亚投资时，应充分了解并遵守亚美尼亚的法律，以清楚知晓并维护自身权益。</w:t>
      </w:r>
    </w:p>
    <w:p>
      <w:pPr>
        <w:pageBreakBefore w:val="0"/>
        <w:kinsoku/>
        <w:wordWrap/>
        <w:overflowPunct/>
        <w:topLinePunct w:val="0"/>
        <w:autoSpaceDE/>
        <w:autoSpaceDN/>
        <w:bidi w:val="0"/>
        <w:adjustRightInd/>
        <w:snapToGrid/>
        <w:spacing w:before="0" w:beforeLines="50" w:after="0" w:afterLines="50" w:line="420" w:lineRule="atLeast"/>
        <w:ind w:firstLine="480" w:firstLineChars="200"/>
        <w:textAlignment w:val="auto"/>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rPr>
        <w:t>相较于其他BITs，</w:t>
      </w:r>
      <w:r>
        <w:rPr>
          <w:rFonts w:hint="default" w:ascii="Times New Roman" w:hAnsi="Times New Roman" w:eastAsia="宋体" w:cs="Times New Roman"/>
          <w:b/>
          <w:sz w:val="24"/>
          <w:szCs w:val="24"/>
        </w:rPr>
        <w:t>中亚BIT</w:t>
      </w:r>
      <w:r>
        <w:rPr>
          <w:rFonts w:hint="default" w:ascii="Times New Roman" w:hAnsi="Times New Roman" w:eastAsia="宋体" w:cs="Times New Roman"/>
          <w:bCs/>
          <w:sz w:val="24"/>
          <w:szCs w:val="24"/>
        </w:rPr>
        <w:t>的投资争议解决机制非常直观，可直接递交国际仲裁，并未设置任何前置程序或友好协商期等，对于投资者寻求国际仲裁救济的障碍较小。</w:t>
      </w:r>
    </w:p>
    <w:p>
      <w:pPr>
        <w:pageBreakBefore w:val="0"/>
        <w:kinsoku/>
        <w:wordWrap/>
        <w:overflowPunct/>
        <w:topLinePunct w:val="0"/>
        <w:autoSpaceDE/>
        <w:autoSpaceDN/>
        <w:bidi w:val="0"/>
        <w:adjustRightInd/>
        <w:snapToGrid/>
        <w:spacing w:before="0" w:beforeLines="50" w:after="0" w:afterLines="50" w:line="420" w:lineRule="atLeast"/>
        <w:ind w:firstLine="480" w:firstLineChars="200"/>
        <w:textAlignment w:val="auto"/>
        <w:rPr>
          <w:rFonts w:hint="default" w:ascii="Times New Roman" w:hAnsi="Times New Roman" w:eastAsia="宋体" w:cs="Times New Roman"/>
          <w:sz w:val="24"/>
          <w:szCs w:val="24"/>
        </w:rPr>
      </w:pPr>
    </w:p>
    <w:p>
      <w:pPr>
        <w:pStyle w:val="2"/>
        <w:pageBreakBefore w:val="0"/>
        <w:numPr>
          <w:ilvl w:val="0"/>
          <w:numId w:val="5"/>
        </w:numPr>
        <w:kinsoku/>
        <w:wordWrap/>
        <w:overflowPunct/>
        <w:topLinePunct w:val="0"/>
        <w:autoSpaceDE/>
        <w:autoSpaceDN/>
        <w:bidi w:val="0"/>
        <w:adjustRightInd/>
        <w:snapToGrid/>
        <w:spacing w:before="0" w:beforeLines="50" w:after="0" w:afterLines="50" w:line="420" w:lineRule="atLeast"/>
        <w:jc w:val="left"/>
        <w:textAlignment w:val="auto"/>
        <w:rPr>
          <w:rFonts w:hint="default" w:ascii="Times New Roman" w:hAnsi="Times New Roman" w:eastAsia="宋体" w:cs="Times New Roman"/>
          <w:sz w:val="28"/>
          <w:szCs w:val="28"/>
        </w:rPr>
      </w:pPr>
      <w:r>
        <w:rPr>
          <w:rFonts w:hint="default" w:ascii="Times New Roman" w:hAnsi="Times New Roman" w:eastAsia="宋体" w:cs="Times New Roman"/>
          <w:sz w:val="28"/>
          <w:szCs w:val="28"/>
        </w:rPr>
        <w:t>亚美尼亚作为被申请方在ICSID的仲裁案件</w:t>
      </w:r>
    </w:p>
    <w:p>
      <w:pPr>
        <w:keepNext w:val="0"/>
        <w:keepLines w:val="0"/>
        <w:pageBreakBefore w:val="0"/>
        <w:widowControl w:val="0"/>
        <w:suppressLineNumbers w:val="0"/>
        <w:kinsoku/>
        <w:wordWrap/>
        <w:overflowPunct/>
        <w:topLinePunct w:val="0"/>
        <w:autoSpaceDE/>
        <w:autoSpaceDN/>
        <w:bidi w:val="0"/>
        <w:adjustRightInd/>
        <w:snapToGrid/>
        <w:spacing w:before="0" w:beforeLines="50" w:beforeAutospacing="0" w:after="0" w:afterLines="50" w:afterAutospacing="0" w:line="420" w:lineRule="atLeast"/>
        <w:ind w:left="0" w:right="0" w:firstLine="480" w:firstLineChars="200"/>
        <w:jc w:val="both"/>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根据ICSID官网披露，截至2020年2月24日，亚美尼亚作为仲裁被申请人，涉及BIT的仲裁案件，在ICSID共有3件</w:t>
      </w:r>
      <w:r>
        <w:rPr>
          <w:rStyle w:val="19"/>
          <w:rFonts w:hint="default" w:ascii="Times New Roman" w:hAnsi="Times New Roman" w:eastAsia="宋体" w:cs="Times New Roman"/>
          <w:sz w:val="24"/>
          <w:szCs w:val="24"/>
        </w:rPr>
        <w:footnoteReference w:id="8"/>
      </w:r>
      <w:r>
        <w:rPr>
          <w:rFonts w:hint="default" w:ascii="Times New Roman" w:hAnsi="Times New Roman" w:eastAsia="宋体" w:cs="Times New Roman"/>
          <w:sz w:val="24"/>
          <w:szCs w:val="24"/>
        </w:rPr>
        <w:t>。笔者将其整理如下：</w:t>
      </w:r>
    </w:p>
    <w:tbl>
      <w:tblPr>
        <w:tblStyle w:val="13"/>
        <w:tblW w:w="82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9"/>
        <w:gridCol w:w="962"/>
        <w:gridCol w:w="1623"/>
        <w:gridCol w:w="1134"/>
        <w:gridCol w:w="1617"/>
        <w:gridCol w:w="1309"/>
        <w:gridCol w:w="9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609" w:type="dxa"/>
            <w:shd w:val="clear" w:color="auto" w:fill="BEBEBE" w:themeFill="background1" w:themeFillShade="BF"/>
          </w:tcPr>
          <w:p>
            <w:pPr>
              <w:rPr>
                <w:rFonts w:hint="default" w:ascii="Times New Roman" w:hAnsi="Times New Roman" w:eastAsia="宋体" w:cs="Times New Roman"/>
              </w:rPr>
            </w:pPr>
            <w:r>
              <w:rPr>
                <w:rFonts w:hint="default" w:ascii="Times New Roman" w:hAnsi="Times New Roman" w:eastAsia="宋体" w:cs="Times New Roman"/>
              </w:rPr>
              <w:t>编号</w:t>
            </w:r>
          </w:p>
        </w:tc>
        <w:tc>
          <w:tcPr>
            <w:tcW w:w="962" w:type="dxa"/>
            <w:shd w:val="clear" w:color="auto" w:fill="BEBEBE" w:themeFill="background1" w:themeFillShade="BF"/>
          </w:tcPr>
          <w:p>
            <w:pPr>
              <w:rPr>
                <w:rFonts w:hint="default" w:ascii="Times New Roman" w:hAnsi="Times New Roman" w:eastAsia="宋体" w:cs="Times New Roman"/>
              </w:rPr>
            </w:pPr>
            <w:r>
              <w:rPr>
                <w:rFonts w:hint="default" w:ascii="Times New Roman" w:hAnsi="Times New Roman" w:eastAsia="宋体" w:cs="Times New Roman"/>
              </w:rPr>
              <w:t>案件编号</w:t>
            </w:r>
          </w:p>
        </w:tc>
        <w:tc>
          <w:tcPr>
            <w:tcW w:w="1623" w:type="dxa"/>
            <w:shd w:val="clear" w:color="auto" w:fill="BEBEBE" w:themeFill="background1" w:themeFillShade="BF"/>
          </w:tcPr>
          <w:p>
            <w:pPr>
              <w:rPr>
                <w:rFonts w:hint="default" w:ascii="Times New Roman" w:hAnsi="Times New Roman" w:eastAsia="宋体" w:cs="Times New Roman"/>
              </w:rPr>
            </w:pPr>
            <w:r>
              <w:rPr>
                <w:rFonts w:hint="default" w:ascii="Times New Roman" w:hAnsi="Times New Roman" w:eastAsia="宋体" w:cs="Times New Roman"/>
              </w:rPr>
              <w:t>申请人</w:t>
            </w:r>
          </w:p>
        </w:tc>
        <w:tc>
          <w:tcPr>
            <w:tcW w:w="1134" w:type="dxa"/>
            <w:shd w:val="clear" w:color="auto" w:fill="BEBEBE" w:themeFill="background1" w:themeFillShade="BF"/>
          </w:tcPr>
          <w:p>
            <w:pPr>
              <w:rPr>
                <w:rFonts w:hint="default" w:ascii="Times New Roman" w:hAnsi="Times New Roman" w:eastAsia="宋体" w:cs="Times New Roman"/>
              </w:rPr>
            </w:pPr>
            <w:r>
              <w:rPr>
                <w:rFonts w:hint="default" w:ascii="Times New Roman" w:hAnsi="Times New Roman" w:eastAsia="宋体" w:cs="Times New Roman"/>
              </w:rPr>
              <w:t>申请人国籍</w:t>
            </w:r>
          </w:p>
        </w:tc>
        <w:tc>
          <w:tcPr>
            <w:tcW w:w="1617" w:type="dxa"/>
            <w:shd w:val="clear" w:color="auto" w:fill="BEBEBE" w:themeFill="background1" w:themeFillShade="BF"/>
          </w:tcPr>
          <w:p>
            <w:pPr>
              <w:rPr>
                <w:rFonts w:hint="default" w:ascii="Times New Roman" w:hAnsi="Times New Roman" w:eastAsia="宋体" w:cs="Times New Roman"/>
              </w:rPr>
            </w:pPr>
            <w:r>
              <w:rPr>
                <w:rFonts w:hint="default" w:ascii="Times New Roman" w:hAnsi="Times New Roman" w:eastAsia="宋体" w:cs="Times New Roman"/>
              </w:rPr>
              <w:t>涉及法律文件</w:t>
            </w:r>
          </w:p>
        </w:tc>
        <w:tc>
          <w:tcPr>
            <w:tcW w:w="1309" w:type="dxa"/>
            <w:shd w:val="clear" w:color="auto" w:fill="BEBEBE" w:themeFill="background1" w:themeFillShade="BF"/>
          </w:tcPr>
          <w:p>
            <w:pPr>
              <w:rPr>
                <w:rFonts w:hint="default" w:ascii="Times New Roman" w:hAnsi="Times New Roman" w:eastAsia="宋体" w:cs="Times New Roman"/>
              </w:rPr>
            </w:pPr>
            <w:r>
              <w:rPr>
                <w:rFonts w:hint="default" w:ascii="Times New Roman" w:hAnsi="Times New Roman" w:eastAsia="宋体" w:cs="Times New Roman"/>
              </w:rPr>
              <w:t>产业领域</w:t>
            </w:r>
          </w:p>
        </w:tc>
        <w:tc>
          <w:tcPr>
            <w:tcW w:w="969" w:type="dxa"/>
            <w:shd w:val="clear" w:color="auto" w:fill="BEBEBE" w:themeFill="background1" w:themeFillShade="BF"/>
          </w:tcPr>
          <w:p>
            <w:pPr>
              <w:rPr>
                <w:rFonts w:hint="default" w:ascii="Times New Roman" w:hAnsi="Times New Roman" w:eastAsia="宋体" w:cs="Times New Roman"/>
              </w:rPr>
            </w:pPr>
            <w:r>
              <w:rPr>
                <w:rFonts w:hint="default" w:ascii="Times New Roman" w:hAnsi="Times New Roman" w:eastAsia="宋体" w:cs="Times New Roman"/>
              </w:rPr>
              <w:t>案件状态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609" w:type="dxa"/>
          </w:tcPr>
          <w:p>
            <w:pPr>
              <w:rPr>
                <w:rFonts w:hint="default" w:ascii="Times New Roman" w:hAnsi="Times New Roman" w:eastAsia="宋体" w:cs="Times New Roman"/>
              </w:rPr>
            </w:pPr>
            <w:r>
              <w:rPr>
                <w:rFonts w:hint="default" w:ascii="Times New Roman" w:hAnsi="Times New Roman" w:eastAsia="宋体" w:cs="Times New Roman"/>
              </w:rPr>
              <w:t>1</w:t>
            </w:r>
          </w:p>
        </w:tc>
        <w:tc>
          <w:tcPr>
            <w:tcW w:w="962" w:type="dxa"/>
          </w:tcPr>
          <w:p>
            <w:pPr>
              <w:rPr>
                <w:rFonts w:hint="default" w:ascii="Times New Roman" w:hAnsi="Times New Roman" w:eastAsia="宋体" w:cs="Times New Roman"/>
              </w:rPr>
            </w:pPr>
            <w:r>
              <w:rPr>
                <w:rFonts w:hint="default" w:ascii="Times New Roman" w:hAnsi="Times New Roman" w:eastAsia="宋体" w:cs="Times New Roman"/>
              </w:rPr>
              <w:t>ARB/18/28</w:t>
            </w:r>
          </w:p>
        </w:tc>
        <w:tc>
          <w:tcPr>
            <w:tcW w:w="1623" w:type="dxa"/>
          </w:tcPr>
          <w:p>
            <w:pPr>
              <w:jc w:val="left"/>
              <w:rPr>
                <w:rFonts w:hint="default" w:ascii="Times New Roman" w:hAnsi="Times New Roman" w:eastAsia="宋体" w:cs="Times New Roman"/>
              </w:rPr>
            </w:pPr>
            <w:r>
              <w:rPr>
                <w:rFonts w:hint="default" w:ascii="Times New Roman" w:hAnsi="Times New Roman" w:eastAsia="宋体" w:cs="Times New Roman"/>
              </w:rPr>
              <w:t>Rasia FZE and Joseph K. Borkowski</w:t>
            </w:r>
          </w:p>
        </w:tc>
        <w:tc>
          <w:tcPr>
            <w:tcW w:w="1134" w:type="dxa"/>
          </w:tcPr>
          <w:p>
            <w:pPr>
              <w:rPr>
                <w:rFonts w:hint="default" w:ascii="Times New Roman" w:hAnsi="Times New Roman" w:eastAsia="宋体" w:cs="Times New Roman"/>
              </w:rPr>
            </w:pPr>
            <w:r>
              <w:rPr>
                <w:rFonts w:hint="default" w:ascii="Times New Roman" w:hAnsi="Times New Roman" w:eastAsia="宋体" w:cs="Times New Roman"/>
              </w:rPr>
              <w:t>美国、阿联酋</w:t>
            </w:r>
          </w:p>
        </w:tc>
        <w:tc>
          <w:tcPr>
            <w:tcW w:w="1617" w:type="dxa"/>
          </w:tcPr>
          <w:p>
            <w:pPr>
              <w:rPr>
                <w:rFonts w:hint="default" w:ascii="Times New Roman" w:hAnsi="Times New Roman" w:eastAsia="宋体" w:cs="Times New Roman"/>
              </w:rPr>
            </w:pPr>
            <w:r>
              <w:rPr>
                <w:rFonts w:hint="default" w:ascii="Times New Roman" w:hAnsi="Times New Roman" w:eastAsia="宋体" w:cs="Times New Roman"/>
              </w:rPr>
              <w:t>亚美尼亚—美国BIT（1992）</w:t>
            </w:r>
          </w:p>
        </w:tc>
        <w:tc>
          <w:tcPr>
            <w:tcW w:w="1309" w:type="dxa"/>
          </w:tcPr>
          <w:p>
            <w:pPr>
              <w:rPr>
                <w:rFonts w:hint="default" w:ascii="Times New Roman" w:hAnsi="Times New Roman" w:eastAsia="宋体" w:cs="Times New Roman"/>
              </w:rPr>
            </w:pPr>
            <w:r>
              <w:rPr>
                <w:rFonts w:hint="default" w:ascii="Times New Roman" w:hAnsi="Times New Roman" w:eastAsia="宋体" w:cs="Times New Roman"/>
              </w:rPr>
              <w:t>交通</w:t>
            </w:r>
          </w:p>
        </w:tc>
        <w:tc>
          <w:tcPr>
            <w:tcW w:w="969" w:type="dxa"/>
          </w:tcPr>
          <w:p>
            <w:pPr>
              <w:rPr>
                <w:rFonts w:hint="default" w:ascii="Times New Roman" w:hAnsi="Times New Roman" w:eastAsia="宋体" w:cs="Times New Roman"/>
              </w:rPr>
            </w:pPr>
            <w:r>
              <w:rPr>
                <w:rFonts w:hint="default" w:ascii="Times New Roman" w:hAnsi="Times New Roman" w:eastAsia="宋体" w:cs="Times New Roman"/>
              </w:rPr>
              <w:t>未决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609" w:type="dxa"/>
          </w:tcPr>
          <w:p>
            <w:pPr>
              <w:rPr>
                <w:rFonts w:hint="default" w:ascii="Times New Roman" w:hAnsi="Times New Roman" w:eastAsia="宋体" w:cs="Times New Roman"/>
              </w:rPr>
            </w:pPr>
            <w:r>
              <w:rPr>
                <w:rFonts w:hint="default" w:ascii="Times New Roman" w:hAnsi="Times New Roman" w:eastAsia="宋体" w:cs="Times New Roman"/>
              </w:rPr>
              <w:t>2</w:t>
            </w:r>
          </w:p>
        </w:tc>
        <w:tc>
          <w:tcPr>
            <w:tcW w:w="962" w:type="dxa"/>
          </w:tcPr>
          <w:p>
            <w:pPr>
              <w:rPr>
                <w:rFonts w:hint="default" w:ascii="Times New Roman" w:hAnsi="Times New Roman" w:eastAsia="宋体" w:cs="Times New Roman"/>
              </w:rPr>
            </w:pPr>
            <w:r>
              <w:rPr>
                <w:rFonts w:hint="default" w:ascii="Times New Roman" w:hAnsi="Times New Roman" w:eastAsia="宋体" w:cs="Times New Roman"/>
              </w:rPr>
              <w:t>ARB/17/36</w:t>
            </w:r>
          </w:p>
        </w:tc>
        <w:tc>
          <w:tcPr>
            <w:tcW w:w="1623" w:type="dxa"/>
          </w:tcPr>
          <w:p>
            <w:pPr>
              <w:jc w:val="left"/>
              <w:rPr>
                <w:rFonts w:hint="default" w:ascii="Times New Roman" w:hAnsi="Times New Roman" w:eastAsia="宋体" w:cs="Times New Roman"/>
              </w:rPr>
            </w:pPr>
            <w:r>
              <w:rPr>
                <w:rFonts w:hint="default" w:ascii="Times New Roman" w:hAnsi="Times New Roman" w:eastAsia="宋体" w:cs="Times New Roman"/>
              </w:rPr>
              <w:t>Edmond Khudyan and Arin Capital &amp; Investment Corp.</w:t>
            </w:r>
          </w:p>
        </w:tc>
        <w:tc>
          <w:tcPr>
            <w:tcW w:w="1134" w:type="dxa"/>
          </w:tcPr>
          <w:p>
            <w:pPr>
              <w:rPr>
                <w:rFonts w:hint="default" w:ascii="Times New Roman" w:hAnsi="Times New Roman" w:eastAsia="宋体" w:cs="Times New Roman"/>
              </w:rPr>
            </w:pPr>
            <w:r>
              <w:rPr>
                <w:rFonts w:hint="default" w:ascii="Times New Roman" w:hAnsi="Times New Roman" w:eastAsia="宋体" w:cs="Times New Roman"/>
              </w:rPr>
              <w:t>美国</w:t>
            </w:r>
          </w:p>
        </w:tc>
        <w:tc>
          <w:tcPr>
            <w:tcW w:w="1617" w:type="dxa"/>
          </w:tcPr>
          <w:p>
            <w:pPr>
              <w:rPr>
                <w:rFonts w:hint="default" w:ascii="Times New Roman" w:hAnsi="Times New Roman" w:eastAsia="宋体" w:cs="Times New Roman"/>
              </w:rPr>
            </w:pPr>
            <w:r>
              <w:rPr>
                <w:rFonts w:hint="default" w:ascii="Times New Roman" w:hAnsi="Times New Roman" w:eastAsia="宋体" w:cs="Times New Roman"/>
              </w:rPr>
              <w:t>亚美尼亚—美国BIT（1992）</w:t>
            </w:r>
          </w:p>
        </w:tc>
        <w:tc>
          <w:tcPr>
            <w:tcW w:w="1309" w:type="dxa"/>
          </w:tcPr>
          <w:p>
            <w:pPr>
              <w:rPr>
                <w:rFonts w:hint="default" w:ascii="Times New Roman" w:hAnsi="Times New Roman" w:eastAsia="宋体" w:cs="Times New Roman"/>
              </w:rPr>
            </w:pPr>
            <w:r>
              <w:rPr>
                <w:rFonts w:hint="default" w:ascii="Times New Roman" w:hAnsi="Times New Roman" w:eastAsia="宋体" w:cs="Times New Roman"/>
              </w:rPr>
              <w:t>工程</w:t>
            </w:r>
          </w:p>
        </w:tc>
        <w:tc>
          <w:tcPr>
            <w:tcW w:w="969" w:type="dxa"/>
          </w:tcPr>
          <w:p>
            <w:pPr>
              <w:rPr>
                <w:rFonts w:hint="default" w:ascii="Times New Roman" w:hAnsi="Times New Roman" w:eastAsia="宋体" w:cs="Times New Roman"/>
              </w:rPr>
            </w:pPr>
            <w:r>
              <w:rPr>
                <w:rFonts w:hint="default" w:ascii="Times New Roman" w:hAnsi="Times New Roman" w:eastAsia="宋体" w:cs="Times New Roman"/>
              </w:rPr>
              <w:t>未决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609" w:type="dxa"/>
          </w:tcPr>
          <w:p>
            <w:pPr>
              <w:rPr>
                <w:rFonts w:hint="default" w:ascii="Times New Roman" w:hAnsi="Times New Roman" w:eastAsia="宋体" w:cs="Times New Roman"/>
              </w:rPr>
            </w:pPr>
            <w:r>
              <w:rPr>
                <w:rFonts w:hint="default" w:ascii="Times New Roman" w:hAnsi="Times New Roman" w:eastAsia="宋体" w:cs="Times New Roman"/>
              </w:rPr>
              <w:t>3</w:t>
            </w:r>
          </w:p>
        </w:tc>
        <w:tc>
          <w:tcPr>
            <w:tcW w:w="962" w:type="dxa"/>
          </w:tcPr>
          <w:p>
            <w:pPr>
              <w:rPr>
                <w:rFonts w:hint="default" w:ascii="Times New Roman" w:hAnsi="Times New Roman" w:eastAsia="宋体" w:cs="Times New Roman"/>
              </w:rPr>
            </w:pPr>
            <w:r>
              <w:rPr>
                <w:rFonts w:hint="default" w:ascii="Times New Roman" w:hAnsi="Times New Roman" w:eastAsia="宋体" w:cs="Times New Roman"/>
              </w:rPr>
              <w:t>ARB/07/7</w:t>
            </w:r>
          </w:p>
        </w:tc>
        <w:tc>
          <w:tcPr>
            <w:tcW w:w="1623" w:type="dxa"/>
          </w:tcPr>
          <w:p>
            <w:pPr>
              <w:jc w:val="left"/>
              <w:rPr>
                <w:rFonts w:hint="default" w:ascii="Times New Roman" w:hAnsi="Times New Roman" w:eastAsia="宋体" w:cs="Times New Roman"/>
              </w:rPr>
            </w:pPr>
            <w:r>
              <w:rPr>
                <w:rFonts w:hint="default" w:ascii="Times New Roman" w:hAnsi="Times New Roman" w:eastAsia="宋体" w:cs="Times New Roman"/>
              </w:rPr>
              <w:t>Global Gold Mining, LLC</w:t>
            </w:r>
          </w:p>
        </w:tc>
        <w:tc>
          <w:tcPr>
            <w:tcW w:w="1134" w:type="dxa"/>
          </w:tcPr>
          <w:p>
            <w:pPr>
              <w:rPr>
                <w:rFonts w:hint="default" w:ascii="Times New Roman" w:hAnsi="Times New Roman" w:eastAsia="宋体" w:cs="Times New Roman"/>
              </w:rPr>
            </w:pPr>
            <w:r>
              <w:rPr>
                <w:rFonts w:hint="default" w:ascii="Times New Roman" w:hAnsi="Times New Roman" w:eastAsia="宋体" w:cs="Times New Roman"/>
              </w:rPr>
              <w:t>美国</w:t>
            </w:r>
          </w:p>
        </w:tc>
        <w:tc>
          <w:tcPr>
            <w:tcW w:w="1617" w:type="dxa"/>
          </w:tcPr>
          <w:p>
            <w:pPr>
              <w:rPr>
                <w:rFonts w:hint="default" w:ascii="Times New Roman" w:hAnsi="Times New Roman" w:eastAsia="宋体" w:cs="Times New Roman"/>
              </w:rPr>
            </w:pPr>
            <w:r>
              <w:rPr>
                <w:rFonts w:hint="default" w:ascii="Times New Roman" w:hAnsi="Times New Roman" w:eastAsia="宋体" w:cs="Times New Roman"/>
              </w:rPr>
              <w:t>亚美尼亚—美国BIT（1992）</w:t>
            </w:r>
          </w:p>
        </w:tc>
        <w:tc>
          <w:tcPr>
            <w:tcW w:w="1309" w:type="dxa"/>
          </w:tcPr>
          <w:p>
            <w:pPr>
              <w:rPr>
                <w:rFonts w:hint="default" w:ascii="Times New Roman" w:hAnsi="Times New Roman" w:eastAsia="宋体" w:cs="Times New Roman"/>
              </w:rPr>
            </w:pPr>
            <w:r>
              <w:rPr>
                <w:rFonts w:hint="default" w:ascii="Times New Roman" w:hAnsi="Times New Roman" w:eastAsia="宋体" w:cs="Times New Roman"/>
              </w:rPr>
              <w:t>石油、天然气和采矿</w:t>
            </w:r>
          </w:p>
        </w:tc>
        <w:tc>
          <w:tcPr>
            <w:tcW w:w="969" w:type="dxa"/>
          </w:tcPr>
          <w:p>
            <w:pPr>
              <w:rPr>
                <w:rFonts w:hint="default" w:ascii="Times New Roman" w:hAnsi="Times New Roman" w:eastAsia="宋体" w:cs="Times New Roman"/>
              </w:rPr>
            </w:pPr>
            <w:r>
              <w:rPr>
                <w:rFonts w:hint="default" w:ascii="Times New Roman" w:hAnsi="Times New Roman" w:eastAsia="宋体" w:cs="Times New Roman"/>
              </w:rPr>
              <w:t>已决</w:t>
            </w:r>
          </w:p>
        </w:tc>
      </w:tr>
    </w:tbl>
    <w:p>
      <w:pPr>
        <w:keepNext w:val="0"/>
        <w:keepLines w:val="0"/>
        <w:pageBreakBefore w:val="0"/>
        <w:widowControl w:val="0"/>
        <w:suppressLineNumbers w:val="0"/>
        <w:kinsoku/>
        <w:wordWrap/>
        <w:overflowPunct/>
        <w:topLinePunct w:val="0"/>
        <w:autoSpaceDE/>
        <w:autoSpaceDN/>
        <w:bidi w:val="0"/>
        <w:adjustRightInd/>
        <w:snapToGrid/>
        <w:spacing w:before="0" w:beforeLines="50" w:beforeAutospacing="0" w:after="0" w:afterLines="50" w:afterAutospacing="0" w:line="420" w:lineRule="atLeast"/>
        <w:ind w:right="0" w:firstLine="480" w:firstLineChars="200"/>
        <w:jc w:val="both"/>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上述3起案例均发生在美国投资者和亚美尼亚政府之间。其中案例3，根据联合国贸易和发展会议（United Nations Conference on Trade and Development，简称UNCTAD）官网披露</w:t>
      </w:r>
      <w:r>
        <w:rPr>
          <w:rStyle w:val="19"/>
          <w:rFonts w:hint="default" w:ascii="Times New Roman" w:hAnsi="Times New Roman" w:eastAsia="宋体" w:cs="Times New Roman"/>
          <w:sz w:val="24"/>
          <w:szCs w:val="24"/>
        </w:rPr>
        <w:footnoteReference w:id="9"/>
      </w:r>
      <w:r>
        <w:rPr>
          <w:rFonts w:hint="default" w:ascii="Times New Roman" w:hAnsi="Times New Roman" w:eastAsia="宋体" w:cs="Times New Roman"/>
          <w:sz w:val="24"/>
          <w:szCs w:val="24"/>
        </w:rPr>
        <w:t>，该案原告Global Gold Mining, LLC拥有亚美尼亚6处矿产的经营许可权，但亚美尼亚环境部拒绝了原告经营许可权的续期，也拒绝向原告颁发新的经营许可权，因此遭到了索赔。该案最终和解（settled）结案，2008年5月9日，该案代理秘书长根据ICSID仲裁规则43（1）终止了（discontinue）仲裁程序</w:t>
      </w:r>
      <w:r>
        <w:rPr>
          <w:rStyle w:val="19"/>
          <w:rFonts w:hint="default" w:ascii="Times New Roman" w:hAnsi="Times New Roman" w:eastAsia="宋体" w:cs="Times New Roman"/>
          <w:sz w:val="24"/>
          <w:szCs w:val="24"/>
        </w:rPr>
        <w:footnoteReference w:id="10"/>
      </w:r>
      <w:r>
        <w:rPr>
          <w:rFonts w:hint="default" w:ascii="Times New Roman" w:hAnsi="Times New Roman" w:eastAsia="宋体" w:cs="Times New Roman"/>
          <w:sz w:val="24"/>
          <w:szCs w:val="24"/>
        </w:rPr>
        <w:t>。</w:t>
      </w:r>
      <w:r>
        <w:rPr>
          <w:rFonts w:hint="default" w:ascii="Times New Roman" w:hAnsi="Times New Roman" w:eastAsia="宋体" w:cs="Times New Roman"/>
          <w:sz w:val="24"/>
          <w:szCs w:val="24"/>
          <w:lang w:eastAsia="zh-CN"/>
        </w:rPr>
        <w:t>ICSID官网对此案的细节未予进一步披露。</w:t>
      </w:r>
    </w:p>
    <w:p>
      <w:pPr>
        <w:pageBreakBefore w:val="0"/>
        <w:kinsoku/>
        <w:wordWrap/>
        <w:overflowPunct/>
        <w:topLinePunct w:val="0"/>
        <w:autoSpaceDE/>
        <w:autoSpaceDN/>
        <w:bidi w:val="0"/>
        <w:adjustRightInd/>
        <w:snapToGrid/>
        <w:spacing w:before="0" w:beforeLines="50" w:after="0" w:afterLines="50" w:line="420" w:lineRule="atLeast"/>
        <w:ind w:firstLine="480" w:firstLineChars="200"/>
        <w:textAlignment w:val="auto"/>
        <w:rPr>
          <w:rFonts w:hint="default" w:ascii="Times New Roman" w:hAnsi="Times New Roman" w:eastAsia="宋体" w:cs="Times New Roman"/>
          <w:sz w:val="24"/>
          <w:szCs w:val="24"/>
        </w:rPr>
      </w:pPr>
    </w:p>
    <w:p>
      <w:pPr>
        <w:pStyle w:val="2"/>
        <w:pageBreakBefore w:val="0"/>
        <w:numPr>
          <w:ilvl w:val="0"/>
          <w:numId w:val="5"/>
        </w:numPr>
        <w:kinsoku/>
        <w:wordWrap/>
        <w:overflowPunct/>
        <w:topLinePunct w:val="0"/>
        <w:autoSpaceDE/>
        <w:autoSpaceDN/>
        <w:bidi w:val="0"/>
        <w:adjustRightInd/>
        <w:snapToGrid/>
        <w:spacing w:before="0" w:beforeLines="50" w:after="0" w:afterLines="50" w:line="420" w:lineRule="atLeast"/>
        <w:jc w:val="left"/>
        <w:textAlignment w:val="auto"/>
        <w:rPr>
          <w:rFonts w:hint="default" w:ascii="Times New Roman" w:hAnsi="Times New Roman" w:eastAsia="宋体" w:cs="Times New Roman"/>
          <w:sz w:val="28"/>
          <w:szCs w:val="28"/>
        </w:rPr>
      </w:pPr>
      <w:r>
        <w:rPr>
          <w:rFonts w:hint="default" w:ascii="Times New Roman" w:hAnsi="Times New Roman" w:eastAsia="宋体" w:cs="Times New Roman"/>
          <w:sz w:val="28"/>
          <w:szCs w:val="28"/>
        </w:rPr>
        <w:t>小结</w:t>
      </w:r>
    </w:p>
    <w:p>
      <w:pPr>
        <w:pageBreakBefore w:val="0"/>
        <w:kinsoku/>
        <w:wordWrap/>
        <w:overflowPunct/>
        <w:topLinePunct w:val="0"/>
        <w:autoSpaceDE/>
        <w:autoSpaceDN/>
        <w:bidi w:val="0"/>
        <w:adjustRightInd/>
        <w:snapToGrid/>
        <w:spacing w:before="0" w:beforeLines="50" w:after="0" w:afterLines="50" w:line="420" w:lineRule="atLeast"/>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总体而言，</w:t>
      </w:r>
      <w:r>
        <w:rPr>
          <w:rFonts w:hint="default" w:ascii="Times New Roman" w:hAnsi="Times New Roman" w:eastAsia="宋体" w:cs="Times New Roman"/>
          <w:b/>
          <w:sz w:val="24"/>
          <w:szCs w:val="24"/>
        </w:rPr>
        <w:t>中亚BIT</w:t>
      </w:r>
      <w:r>
        <w:rPr>
          <w:rFonts w:hint="default" w:ascii="Times New Roman" w:hAnsi="Times New Roman" w:eastAsia="宋体" w:cs="Times New Roman"/>
          <w:sz w:val="24"/>
          <w:szCs w:val="24"/>
        </w:rPr>
        <w:t>明确了投资不被征收的原则，建议我国投资者谨慎投资，完成我国国内批准程序和亚美尼亚国内许可，并遵守东道国法律，避免投资不被</w:t>
      </w:r>
      <w:r>
        <w:rPr>
          <w:rFonts w:hint="default" w:ascii="Times New Roman" w:hAnsi="Times New Roman" w:eastAsia="宋体" w:cs="Times New Roman"/>
          <w:b/>
          <w:bCs/>
          <w:sz w:val="24"/>
          <w:szCs w:val="24"/>
        </w:rPr>
        <w:t>中亚BIT</w:t>
      </w:r>
      <w:r>
        <w:rPr>
          <w:rFonts w:hint="default" w:ascii="Times New Roman" w:hAnsi="Times New Roman" w:eastAsia="宋体" w:cs="Times New Roman"/>
          <w:sz w:val="24"/>
          <w:szCs w:val="24"/>
        </w:rPr>
        <w:t>认可的情形。在遇到投资争议时，仅“有关征收补偿数额的争议”可依据</w:t>
      </w:r>
      <w:r>
        <w:rPr>
          <w:rFonts w:hint="default" w:ascii="Times New Roman" w:hAnsi="Times New Roman" w:eastAsia="宋体" w:cs="Times New Roman"/>
          <w:b/>
          <w:bCs/>
          <w:sz w:val="24"/>
          <w:szCs w:val="24"/>
        </w:rPr>
        <w:t>中亚BIT</w:t>
      </w:r>
      <w:r>
        <w:rPr>
          <w:rFonts w:hint="default" w:ascii="Times New Roman" w:hAnsi="Times New Roman" w:eastAsia="宋体" w:cs="Times New Roman"/>
          <w:sz w:val="24"/>
          <w:szCs w:val="24"/>
        </w:rPr>
        <w:t>提交国际仲裁。为了确保争议解决的效率性与公正性，建议在投资协议中书面约定与投资相关的争议均可提交ICSID国际仲裁，避免在争议事实发生后，丧失国际层面的救济途径。另可考虑投保海外投资保险，规避投资的非商业风险。</w:t>
      </w:r>
    </w:p>
    <w:p>
      <w:pPr>
        <w:pageBreakBefore w:val="0"/>
        <w:kinsoku/>
        <w:wordWrap/>
        <w:overflowPunct/>
        <w:topLinePunct w:val="0"/>
        <w:autoSpaceDE/>
        <w:autoSpaceDN/>
        <w:bidi w:val="0"/>
        <w:adjustRightInd/>
        <w:snapToGrid/>
        <w:spacing w:before="0" w:beforeLines="50" w:after="0" w:afterLines="50" w:line="420" w:lineRule="atLeast"/>
        <w:ind w:firstLine="480" w:firstLineChars="200"/>
        <w:textAlignment w:val="auto"/>
        <w:rPr>
          <w:rFonts w:hint="default" w:ascii="Times New Roman" w:hAnsi="Times New Roman" w:eastAsia="宋体" w:cs="Times New Roman"/>
          <w:sz w:val="24"/>
          <w:szCs w:val="24"/>
        </w:rPr>
      </w:pPr>
    </w:p>
    <w:sectPr>
      <w:pgSz w:w="12240" w:h="15840"/>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2">
    <w:p>
      <w:r>
        <w:separator/>
      </w:r>
    </w:p>
  </w:footnote>
  <w:footnote w:type="continuationSeparator" w:id="23">
    <w:p>
      <w:r>
        <w:continuationSeparator/>
      </w:r>
    </w:p>
  </w:footnote>
  <w:footnote w:id="0">
    <w:p>
      <w:pPr>
        <w:pStyle w:val="9"/>
        <w:rPr>
          <w:rFonts w:hint="eastAsia" w:asciiTheme="minorEastAsia" w:hAnsiTheme="minorEastAsia" w:eastAsiaTheme="minorEastAsia" w:cstheme="minorEastAsia"/>
          <w:sz w:val="18"/>
          <w:szCs w:val="18"/>
        </w:rPr>
      </w:pPr>
      <w:r>
        <w:rPr>
          <w:rStyle w:val="19"/>
          <w:rFonts w:hint="eastAsia" w:asciiTheme="minorEastAsia" w:hAnsiTheme="minorEastAsia" w:eastAsiaTheme="minorEastAsia" w:cstheme="minorEastAsia"/>
          <w:sz w:val="18"/>
          <w:szCs w:val="18"/>
        </w:rPr>
        <w:footnoteRef/>
      </w:r>
      <w:r>
        <w:rPr>
          <w:rFonts w:hint="eastAsia" w:asciiTheme="minorEastAsia" w:hAnsiTheme="minorEastAsia" w:eastAsiaTheme="minorEastAsia" w:cstheme="minorEastAsia"/>
          <w:sz w:val="18"/>
          <w:szCs w:val="18"/>
        </w:rPr>
        <w:t xml:space="preserve"> 参见《对外投资合作国别（地区）指南-</w:t>
      </w:r>
      <w:r>
        <w:rPr>
          <w:rFonts w:hint="default" w:asciiTheme="minorEastAsia" w:hAnsiTheme="minorEastAsia" w:cstheme="minorEastAsia"/>
          <w:sz w:val="18"/>
          <w:szCs w:val="18"/>
        </w:rPr>
        <w:t>亚美尼亚</w:t>
      </w:r>
      <w:r>
        <w:rPr>
          <w:rFonts w:hint="eastAsia" w:asciiTheme="minorEastAsia" w:hAnsiTheme="minorEastAsia" w:eastAsiaTheme="minorEastAsia" w:cstheme="minorEastAsia"/>
          <w:sz w:val="18"/>
          <w:szCs w:val="18"/>
        </w:rPr>
        <w:t>》（201</w:t>
      </w:r>
      <w:r>
        <w:rPr>
          <w:rFonts w:hint="default" w:asciiTheme="minorEastAsia" w:hAnsiTheme="minorEastAsia" w:cstheme="minorEastAsia"/>
          <w:sz w:val="18"/>
          <w:szCs w:val="18"/>
        </w:rPr>
        <w:t>9</w:t>
      </w:r>
      <w:r>
        <w:rPr>
          <w:rFonts w:hint="eastAsia" w:asciiTheme="minorEastAsia" w:hAnsiTheme="minorEastAsia" w:eastAsiaTheme="minorEastAsia" w:cstheme="minorEastAsia"/>
          <w:sz w:val="18"/>
          <w:szCs w:val="18"/>
        </w:rPr>
        <w:t>年版）参赞的话。</w:t>
      </w:r>
    </w:p>
  </w:footnote>
  <w:footnote w:id="1">
    <w:p>
      <w:pPr>
        <w:pStyle w:val="9"/>
        <w:rPr>
          <w:rFonts w:hint="eastAsia" w:asciiTheme="minorEastAsia" w:hAnsiTheme="minorEastAsia" w:eastAsiaTheme="minorEastAsia" w:cstheme="minorEastAsia"/>
          <w:sz w:val="18"/>
          <w:szCs w:val="18"/>
        </w:rPr>
      </w:pPr>
      <w:r>
        <w:rPr>
          <w:rStyle w:val="19"/>
          <w:rFonts w:hint="eastAsia" w:asciiTheme="minorEastAsia" w:hAnsiTheme="minorEastAsia" w:eastAsiaTheme="minorEastAsia" w:cstheme="minorEastAsia"/>
          <w:sz w:val="18"/>
          <w:szCs w:val="18"/>
        </w:rPr>
        <w:footnoteRef/>
      </w:r>
      <w:r>
        <w:rPr>
          <w:rFonts w:hint="eastAsia" w:asciiTheme="minorEastAsia" w:hAnsiTheme="minorEastAsia" w:eastAsiaTheme="minorEastAsia" w:cstheme="minorEastAsia"/>
          <w:sz w:val="18"/>
          <w:szCs w:val="18"/>
        </w:rPr>
        <w:t xml:space="preserve"> 参见世界银行：《2019年营商环境报告》，https://chinese.doingbusiness.org/zh/data/exploreeconomies/</w:t>
      </w:r>
      <w:r>
        <w:rPr>
          <w:rFonts w:hint="default" w:asciiTheme="minorEastAsia" w:hAnsiTheme="minorEastAsia" w:cstheme="minorEastAsia"/>
          <w:sz w:val="18"/>
          <w:szCs w:val="18"/>
        </w:rPr>
        <w:t>armenia</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color w:val="000000" w:themeColor="text1"/>
          <w:sz w:val="18"/>
          <w:szCs w:val="18"/>
          <w14:textFill>
            <w14:solidFill>
              <w14:schemeClr w14:val="tx1"/>
            </w14:solidFill>
          </w14:textFill>
        </w:rPr>
        <w:t>访问日期：20</w:t>
      </w:r>
      <w:r>
        <w:rPr>
          <w:rFonts w:hint="default" w:asciiTheme="minorEastAsia" w:hAnsiTheme="minorEastAsia" w:cstheme="minorEastAsia"/>
          <w:color w:val="000000" w:themeColor="text1"/>
          <w:sz w:val="18"/>
          <w:szCs w:val="18"/>
          <w14:textFill>
            <w14:solidFill>
              <w14:schemeClr w14:val="tx1"/>
            </w14:solidFill>
          </w14:textFill>
        </w:rPr>
        <w:t>20</w:t>
      </w:r>
      <w:r>
        <w:rPr>
          <w:rFonts w:hint="eastAsia" w:asciiTheme="minorEastAsia" w:hAnsiTheme="minorEastAsia" w:eastAsiaTheme="minorEastAsia" w:cstheme="minorEastAsia"/>
          <w:color w:val="000000" w:themeColor="text1"/>
          <w:sz w:val="18"/>
          <w:szCs w:val="18"/>
          <w14:textFill>
            <w14:solidFill>
              <w14:schemeClr w14:val="tx1"/>
            </w14:solidFill>
          </w14:textFill>
        </w:rPr>
        <w:t>年</w:t>
      </w:r>
      <w:r>
        <w:rPr>
          <w:rFonts w:hint="default" w:asciiTheme="minorEastAsia" w:hAnsiTheme="minorEastAsia" w:cstheme="minorEastAsia"/>
          <w:color w:val="000000" w:themeColor="text1"/>
          <w:sz w:val="18"/>
          <w:szCs w:val="18"/>
          <w14:textFill>
            <w14:solidFill>
              <w14:schemeClr w14:val="tx1"/>
            </w14:solidFill>
          </w14:textFill>
        </w:rPr>
        <w:t>2</w:t>
      </w:r>
      <w:r>
        <w:rPr>
          <w:rFonts w:hint="eastAsia" w:asciiTheme="minorEastAsia" w:hAnsiTheme="minorEastAsia" w:eastAsiaTheme="minorEastAsia" w:cstheme="minorEastAsia"/>
          <w:color w:val="000000" w:themeColor="text1"/>
          <w:sz w:val="18"/>
          <w:szCs w:val="18"/>
          <w14:textFill>
            <w14:solidFill>
              <w14:schemeClr w14:val="tx1"/>
            </w14:solidFill>
          </w14:textFill>
        </w:rPr>
        <w:t>月</w:t>
      </w:r>
      <w:r>
        <w:rPr>
          <w:rFonts w:hint="default" w:asciiTheme="minorEastAsia" w:hAnsiTheme="minorEastAsia" w:cstheme="minorEastAsia"/>
          <w:color w:val="000000" w:themeColor="text1"/>
          <w:sz w:val="18"/>
          <w:szCs w:val="18"/>
          <w14:textFill>
            <w14:solidFill>
              <w14:schemeClr w14:val="tx1"/>
            </w14:solidFill>
          </w14:textFill>
        </w:rPr>
        <w:t>24</w:t>
      </w:r>
      <w:r>
        <w:rPr>
          <w:rFonts w:hint="eastAsia" w:asciiTheme="minorEastAsia" w:hAnsiTheme="minorEastAsia" w:eastAsiaTheme="minorEastAsia" w:cstheme="minorEastAsia"/>
          <w:color w:val="000000" w:themeColor="text1"/>
          <w:sz w:val="18"/>
          <w:szCs w:val="18"/>
          <w14:textFill>
            <w14:solidFill>
              <w14:schemeClr w14:val="tx1"/>
            </w14:solidFill>
          </w14:textFill>
        </w:rPr>
        <w:t>日。</w:t>
      </w:r>
    </w:p>
  </w:footnote>
  <w:footnote w:id="2">
    <w:p>
      <w:pPr>
        <w:pStyle w:val="9"/>
        <w:rPr>
          <w:rFonts w:hint="eastAsia" w:asciiTheme="minorEastAsia" w:hAnsiTheme="minorEastAsia" w:eastAsiaTheme="minorEastAsia" w:cstheme="minorEastAsia"/>
          <w:sz w:val="18"/>
          <w:szCs w:val="18"/>
        </w:rPr>
      </w:pPr>
      <w:r>
        <w:rPr>
          <w:rStyle w:val="19"/>
          <w:rFonts w:hint="eastAsia" w:asciiTheme="minorEastAsia" w:hAnsiTheme="minorEastAsia" w:eastAsiaTheme="minorEastAsia" w:cstheme="minorEastAsia"/>
          <w:sz w:val="18"/>
          <w:szCs w:val="18"/>
        </w:rPr>
        <w:footnoteRef/>
      </w:r>
      <w:r>
        <w:rPr>
          <w:rFonts w:hint="eastAsia" w:asciiTheme="minorEastAsia" w:hAnsiTheme="minorEastAsia" w:eastAsiaTheme="minorEastAsia" w:cstheme="minorEastAsia"/>
          <w:sz w:val="18"/>
          <w:szCs w:val="18"/>
        </w:rPr>
        <w:t xml:space="preserve"> See: </w:t>
      </w:r>
      <w:r>
        <w:rPr>
          <w:rFonts w:hint="eastAsia" w:asciiTheme="minorEastAsia" w:hAnsiTheme="minorEastAsia" w:eastAsiaTheme="minorEastAsia" w:cstheme="minorEastAsia"/>
          <w:sz w:val="18"/>
          <w:szCs w:val="18"/>
        </w:rPr>
        <w:fldChar w:fldCharType="begin"/>
      </w:r>
      <w:r>
        <w:rPr>
          <w:rFonts w:hint="eastAsia" w:asciiTheme="minorEastAsia" w:hAnsiTheme="minorEastAsia" w:eastAsiaTheme="minorEastAsia" w:cstheme="minorEastAsia"/>
          <w:sz w:val="18"/>
          <w:szCs w:val="18"/>
        </w:rPr>
        <w:instrText xml:space="preserve"> HYPERLINK "https://icsid.worldbank.org/en/Documents/icsiddocs/List%20of%20Contracting%20States%20and%20Other%20Signatories%20of%20the%20Convention%20-%20Latest.pdf" </w:instrText>
      </w:r>
      <w:r>
        <w:rPr>
          <w:rFonts w:hint="eastAsia" w:asciiTheme="minorEastAsia" w:hAnsiTheme="minorEastAsia" w:eastAsiaTheme="minorEastAsia" w:cstheme="minorEastAsia"/>
          <w:sz w:val="18"/>
          <w:szCs w:val="18"/>
        </w:rPr>
        <w:fldChar w:fldCharType="separate"/>
      </w:r>
      <w:r>
        <w:rPr>
          <w:rStyle w:val="17"/>
          <w:rFonts w:hint="eastAsia" w:asciiTheme="minorEastAsia" w:hAnsiTheme="minorEastAsia" w:eastAsiaTheme="minorEastAsia" w:cstheme="minorEastAsia"/>
          <w:sz w:val="18"/>
          <w:szCs w:val="18"/>
        </w:rPr>
        <w:t>https://icsid.worldbank.org/en/Documents/icsiddocs/List%20of%20Contracting%20States%20and%20Other%20Signatories%20of%20the%20Convention%20-%20Latest.pdf</w:t>
      </w:r>
      <w:r>
        <w:rPr>
          <w:rStyle w:val="17"/>
          <w:rFonts w:hint="eastAsia" w:asciiTheme="minorEastAsia" w:hAnsiTheme="minorEastAsia" w:eastAsiaTheme="minorEastAsia" w:cstheme="minorEastAsia"/>
          <w:sz w:val="18"/>
          <w:szCs w:val="18"/>
        </w:rPr>
        <w:fldChar w:fldCharType="end"/>
      </w:r>
    </w:p>
  </w:footnote>
  <w:footnote w:id="3">
    <w:p>
      <w:pPr>
        <w:pStyle w:val="10"/>
        <w:keepNext w:val="0"/>
        <w:keepLines w:val="0"/>
        <w:widowControl w:val="0"/>
        <w:suppressLineNumbers w:val="0"/>
        <w:snapToGrid w:val="0"/>
        <w:spacing w:before="0" w:beforeAutospacing="0" w:after="0" w:afterAutospacing="0"/>
        <w:ind w:left="0" w:right="0"/>
        <w:jc w:val="left"/>
        <w:rPr>
          <w:rFonts w:hint="eastAsia" w:asciiTheme="minorEastAsia" w:hAnsiTheme="minorEastAsia" w:eastAsiaTheme="minorEastAsia" w:cstheme="minorEastAsia"/>
          <w:sz w:val="18"/>
          <w:szCs w:val="18"/>
        </w:rPr>
      </w:pPr>
      <w:r>
        <w:rPr>
          <w:rStyle w:val="19"/>
          <w:rFonts w:hint="eastAsia" w:asciiTheme="minorEastAsia" w:hAnsiTheme="minorEastAsia" w:eastAsiaTheme="minorEastAsia" w:cstheme="minorEastAsia"/>
          <w:sz w:val="18"/>
          <w:szCs w:val="18"/>
        </w:rPr>
        <w:footnoteRef/>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kern w:val="2"/>
          <w:sz w:val="18"/>
          <w:szCs w:val="18"/>
          <w:lang w:val="en-US" w:eastAsia="zh-CN" w:bidi="ar"/>
        </w:rPr>
        <w:t>《对外投资合作国别（地区）指南-</w:t>
      </w:r>
      <w:r>
        <w:rPr>
          <w:rFonts w:hint="default" w:asciiTheme="minorEastAsia" w:hAnsiTheme="minorEastAsia" w:cstheme="minorEastAsia"/>
          <w:kern w:val="2"/>
          <w:sz w:val="18"/>
          <w:szCs w:val="18"/>
          <w:lang w:eastAsia="zh-CN" w:bidi="ar"/>
        </w:rPr>
        <w:t>亚美尼亚</w:t>
      </w:r>
      <w:r>
        <w:rPr>
          <w:rFonts w:hint="eastAsia" w:asciiTheme="minorEastAsia" w:hAnsiTheme="minorEastAsia" w:eastAsiaTheme="minorEastAsia" w:cstheme="minorEastAsia"/>
          <w:kern w:val="2"/>
          <w:sz w:val="18"/>
          <w:szCs w:val="18"/>
          <w:lang w:val="en-US" w:eastAsia="zh-CN" w:bidi="ar"/>
        </w:rPr>
        <w:t>》（201</w:t>
      </w:r>
      <w:r>
        <w:rPr>
          <w:rFonts w:hint="default" w:asciiTheme="minorEastAsia" w:hAnsiTheme="minorEastAsia" w:cstheme="minorEastAsia"/>
          <w:kern w:val="2"/>
          <w:sz w:val="18"/>
          <w:szCs w:val="18"/>
          <w:lang w:eastAsia="zh-CN" w:bidi="ar"/>
        </w:rPr>
        <w:t>9</w:t>
      </w:r>
      <w:r>
        <w:rPr>
          <w:rFonts w:hint="eastAsia" w:asciiTheme="minorEastAsia" w:hAnsiTheme="minorEastAsia" w:eastAsiaTheme="minorEastAsia" w:cstheme="minorEastAsia"/>
          <w:kern w:val="2"/>
          <w:sz w:val="18"/>
          <w:szCs w:val="18"/>
          <w:lang w:val="en-US" w:eastAsia="zh-CN" w:bidi="ar"/>
        </w:rPr>
        <w:t>年版）第4</w:t>
      </w:r>
      <w:r>
        <w:rPr>
          <w:rFonts w:hint="default" w:asciiTheme="minorEastAsia" w:hAnsiTheme="minorEastAsia" w:cstheme="minorEastAsia"/>
          <w:kern w:val="2"/>
          <w:sz w:val="18"/>
          <w:szCs w:val="18"/>
          <w:lang w:eastAsia="zh-CN" w:bidi="ar"/>
        </w:rPr>
        <w:t>8</w:t>
      </w:r>
      <w:r>
        <w:rPr>
          <w:rFonts w:hint="eastAsia" w:asciiTheme="minorEastAsia" w:hAnsiTheme="minorEastAsia" w:eastAsiaTheme="minorEastAsia" w:cstheme="minorEastAsia"/>
          <w:kern w:val="2"/>
          <w:sz w:val="18"/>
          <w:szCs w:val="18"/>
          <w:lang w:val="en-US" w:eastAsia="zh-CN" w:bidi="ar"/>
        </w:rPr>
        <w:t>页。</w:t>
      </w:r>
    </w:p>
  </w:footnote>
  <w:footnote w:id="4">
    <w:p>
      <w:pPr>
        <w:pStyle w:val="9"/>
        <w:rPr>
          <w:rFonts w:hint="eastAsia" w:asciiTheme="minorEastAsia" w:hAnsiTheme="minorEastAsia" w:eastAsiaTheme="minorEastAsia" w:cstheme="minorEastAsia"/>
          <w:sz w:val="18"/>
          <w:szCs w:val="18"/>
        </w:rPr>
      </w:pPr>
      <w:r>
        <w:rPr>
          <w:rStyle w:val="19"/>
          <w:rFonts w:hint="eastAsia" w:asciiTheme="minorEastAsia" w:hAnsiTheme="minorEastAsia" w:eastAsiaTheme="minorEastAsia" w:cstheme="minorEastAsia"/>
          <w:sz w:val="18"/>
          <w:szCs w:val="18"/>
        </w:rPr>
        <w:footnoteRef/>
      </w:r>
      <w:r>
        <w:rPr>
          <w:rFonts w:hint="eastAsia" w:asciiTheme="minorEastAsia" w:hAnsiTheme="minorEastAsia" w:eastAsiaTheme="minorEastAsia" w:cstheme="minorEastAsia"/>
          <w:sz w:val="18"/>
          <w:szCs w:val="18"/>
        </w:rPr>
        <w:t xml:space="preserve"> 关于中国信保承保的海外投资保险，可参见中国信保官网，</w:t>
      </w:r>
      <w:r>
        <w:rPr>
          <w:rStyle w:val="17"/>
          <w:rFonts w:hint="eastAsia" w:asciiTheme="minorEastAsia" w:hAnsiTheme="minorEastAsia" w:eastAsiaTheme="minorEastAsia" w:cstheme="minorEastAsia"/>
          <w:sz w:val="18"/>
          <w:szCs w:val="18"/>
        </w:rPr>
        <w:t>http://www.sinosure.com.cn/ywjs/xmxcp/hwtzbx/hwtzbxjj/index.shtml</w:t>
      </w:r>
      <w:r>
        <w:rPr>
          <w:rFonts w:hint="eastAsia" w:asciiTheme="minorEastAsia" w:hAnsiTheme="minorEastAsia" w:eastAsiaTheme="minorEastAsia" w:cstheme="minorEastAsia"/>
          <w:sz w:val="18"/>
          <w:szCs w:val="18"/>
        </w:rPr>
        <w:t>.</w:t>
      </w:r>
    </w:p>
  </w:footnote>
  <w:footnote w:id="5">
    <w:p>
      <w:pPr>
        <w:pStyle w:val="9"/>
        <w:snapToGrid w:val="0"/>
      </w:pPr>
      <w:r>
        <w:rPr>
          <w:rStyle w:val="19"/>
        </w:rPr>
        <w:footnoteRef/>
      </w:r>
      <w:r>
        <w:t xml:space="preserve"> 参见：</w:t>
      </w:r>
      <w:r>
        <w:rPr>
          <w:rFonts w:hint="eastAsia"/>
        </w:rPr>
        <w:t>http://www.sinosure.com.cn/gywm/gsjj/gsjj.shtml</w:t>
      </w:r>
    </w:p>
  </w:footnote>
  <w:footnote w:id="6">
    <w:p>
      <w:pPr>
        <w:pStyle w:val="9"/>
        <w:snapToGrid w:val="0"/>
      </w:pPr>
      <w:r>
        <w:rPr>
          <w:rStyle w:val="19"/>
        </w:rPr>
        <w:footnoteRef/>
      </w:r>
      <w:r>
        <w:t xml:space="preserve"> 参见：</w:t>
      </w:r>
      <w:r>
        <w:rPr>
          <w:rFonts w:hint="eastAsia"/>
        </w:rPr>
        <w:t>http://www.sinosure.com.cn/ywjs/xmxcp/hwtzbx/hwtzbxjj/index.shtml</w:t>
      </w:r>
    </w:p>
  </w:footnote>
  <w:footnote w:id="7">
    <w:p>
      <w:pPr>
        <w:pStyle w:val="9"/>
        <w:snapToGrid w:val="0"/>
      </w:pPr>
      <w:r>
        <w:rPr>
          <w:rStyle w:val="19"/>
        </w:rPr>
        <w:footnoteRef/>
      </w:r>
      <w:r>
        <w:t xml:space="preserve"> </w:t>
      </w:r>
    </w:p>
  </w:footnote>
  <w:footnote w:id="8">
    <w:p>
      <w:pPr>
        <w:pStyle w:val="9"/>
        <w:snapToGrid w:val="0"/>
        <w:rPr>
          <w:rFonts w:hint="eastAsia" w:asciiTheme="minorEastAsia" w:hAnsiTheme="minorEastAsia" w:eastAsiaTheme="minorEastAsia" w:cstheme="minorEastAsia"/>
        </w:rPr>
      </w:pPr>
      <w:r>
        <w:rPr>
          <w:rStyle w:val="19"/>
          <w:rFonts w:hint="eastAsia" w:asciiTheme="minorEastAsia" w:hAnsiTheme="minorEastAsia" w:eastAsiaTheme="minorEastAsia" w:cstheme="minorEastAsia"/>
        </w:rPr>
        <w:footnoteRef/>
      </w:r>
      <w:r>
        <w:rPr>
          <w:rFonts w:hint="eastAsia" w:asciiTheme="minorEastAsia" w:hAnsiTheme="minorEastAsia" w:eastAsiaTheme="minorEastAsia" w:cstheme="minorEastAsia"/>
        </w:rPr>
        <w:t xml:space="preserve"> 数据来源https://icsid.worldbank.org/en/Pages/cases/AdvancedSearch.aspx, 访问日期20</w:t>
      </w:r>
      <w:r>
        <w:rPr>
          <w:rFonts w:hint="default" w:asciiTheme="minorEastAsia" w:hAnsiTheme="minorEastAsia" w:cstheme="minorEastAsia"/>
        </w:rPr>
        <w:t>20</w:t>
      </w:r>
      <w:r>
        <w:rPr>
          <w:rFonts w:hint="eastAsia" w:asciiTheme="minorEastAsia" w:hAnsiTheme="minorEastAsia" w:eastAsiaTheme="minorEastAsia" w:cstheme="minorEastAsia"/>
        </w:rPr>
        <w:t>年</w:t>
      </w:r>
      <w:r>
        <w:rPr>
          <w:rFonts w:hint="default" w:asciiTheme="minorEastAsia" w:hAnsiTheme="minorEastAsia" w:cstheme="minorEastAsia"/>
        </w:rPr>
        <w:t>2</w:t>
      </w:r>
      <w:r>
        <w:rPr>
          <w:rFonts w:hint="eastAsia" w:asciiTheme="minorEastAsia" w:hAnsiTheme="minorEastAsia" w:eastAsiaTheme="minorEastAsia" w:cstheme="minorEastAsia"/>
        </w:rPr>
        <w:t>月</w:t>
      </w:r>
      <w:r>
        <w:rPr>
          <w:rFonts w:hint="default" w:asciiTheme="minorEastAsia" w:hAnsiTheme="minorEastAsia" w:cstheme="minorEastAsia"/>
        </w:rPr>
        <w:t>24</w:t>
      </w:r>
      <w:r>
        <w:rPr>
          <w:rFonts w:hint="eastAsia" w:asciiTheme="minorEastAsia" w:hAnsiTheme="minorEastAsia" w:eastAsiaTheme="minorEastAsia" w:cstheme="minorEastAsia"/>
        </w:rPr>
        <w:t>日。</w:t>
      </w:r>
    </w:p>
  </w:footnote>
  <w:footnote w:id="9">
    <w:p>
      <w:pPr>
        <w:pStyle w:val="9"/>
        <w:snapToGrid w:val="0"/>
        <w:rPr>
          <w:rFonts w:hint="eastAsia" w:asciiTheme="minorEastAsia" w:hAnsiTheme="minorEastAsia" w:eastAsiaTheme="minorEastAsia" w:cstheme="minorEastAsia"/>
        </w:rPr>
      </w:pPr>
      <w:r>
        <w:rPr>
          <w:rStyle w:val="19"/>
          <w:rFonts w:hint="eastAsia" w:asciiTheme="minorEastAsia" w:hAnsiTheme="minorEastAsia" w:eastAsiaTheme="minorEastAsia" w:cstheme="minorEastAsia"/>
        </w:rPr>
        <w:footnoteRef/>
      </w:r>
      <w:r>
        <w:rPr>
          <w:rFonts w:hint="eastAsia" w:asciiTheme="minorEastAsia" w:hAnsiTheme="minorEastAsia" w:eastAsiaTheme="minorEastAsia" w:cstheme="minorEastAsia"/>
        </w:rPr>
        <w:t xml:space="preserve"> See</w:t>
      </w:r>
      <w:r>
        <w:rPr>
          <w:rFonts w:hint="default" w:asciiTheme="minorEastAsia" w:hAnsiTheme="minorEastAsia" w:cstheme="minorEastAsia"/>
        </w:rPr>
        <w:t>: https://investmentpolicy.unctad.org/investment-dispute-settlement/cases/266/global-gold-mining-v-armenia</w:t>
      </w:r>
      <w:r>
        <w:rPr>
          <w:rFonts w:hint="eastAsia" w:asciiTheme="minorEastAsia" w:hAnsiTheme="minorEastAsia" w:eastAsiaTheme="minorEastAsia" w:cstheme="minorEastAsia"/>
        </w:rPr>
        <w:t>，访问日期</w:t>
      </w:r>
      <w:r>
        <w:rPr>
          <w:rFonts w:hint="default" w:asciiTheme="minorEastAsia" w:hAnsiTheme="minorEastAsia" w:cstheme="minorEastAsia"/>
        </w:rPr>
        <w:t>2020年2月24日</w:t>
      </w:r>
      <w:r>
        <w:rPr>
          <w:rFonts w:hint="eastAsia" w:asciiTheme="minorEastAsia" w:hAnsiTheme="minorEastAsia" w:eastAsiaTheme="minorEastAsia" w:cstheme="minorEastAsia"/>
        </w:rPr>
        <w:t>。</w:t>
      </w:r>
    </w:p>
  </w:footnote>
  <w:footnote w:id="10">
    <w:p>
      <w:pPr>
        <w:pStyle w:val="9"/>
        <w:snapToGrid w:val="0"/>
      </w:pPr>
      <w:r>
        <w:rPr>
          <w:rStyle w:val="19"/>
        </w:rPr>
        <w:footnoteRef/>
      </w:r>
      <w:r>
        <w:t xml:space="preserve"> </w:t>
      </w:r>
      <w:r>
        <w:rPr>
          <w:rFonts w:hint="eastAsia" w:asciiTheme="minorEastAsia" w:hAnsiTheme="minorEastAsia" w:eastAsiaTheme="minorEastAsia" w:cstheme="minorEastAsia"/>
        </w:rPr>
        <w:t>See</w:t>
      </w:r>
      <w:r>
        <w:rPr>
          <w:rFonts w:hint="default" w:asciiTheme="minorEastAsia" w:hAnsiTheme="minorEastAsia" w:cstheme="minorEastAsia"/>
        </w:rPr>
        <w:t>: https://icsid.worldbank.org/en/Pages/cases/casedetail.aspx?CaseNo=ARB/07/7</w:t>
      </w:r>
      <w:r>
        <w:rPr>
          <w:rFonts w:hint="eastAsia" w:asciiTheme="minorEastAsia" w:hAnsiTheme="minorEastAsia" w:eastAsiaTheme="minorEastAsia" w:cstheme="minorEastAsia"/>
        </w:rPr>
        <w:t>，访问日期</w:t>
      </w:r>
      <w:r>
        <w:rPr>
          <w:rFonts w:hint="default" w:asciiTheme="minorEastAsia" w:hAnsiTheme="minorEastAsia" w:cstheme="minorEastAsia"/>
        </w:rPr>
        <w:t>2020年2月24日</w:t>
      </w:r>
      <w:r>
        <w:rPr>
          <w:rFonts w:hint="eastAsia" w:asciiTheme="minorEastAsia" w:hAnsiTheme="minorEastAsia" w:eastAsiaTheme="minorEastAsia" w:cstheme="minor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930688B"/>
    <w:multiLevelType w:val="multilevel"/>
    <w:tmpl w:val="4930688B"/>
    <w:lvl w:ilvl="0" w:tentative="0">
      <w:start w:val="1"/>
      <w:numFmt w:val="chineseCountingThousand"/>
      <w:lvlText w:val="%1、"/>
      <w:lvlJc w:val="left"/>
      <w:pPr>
        <w:ind w:left="720" w:hanging="720"/>
      </w:pPr>
      <w:rPr>
        <w:rFonts w:hint="eastAsia"/>
      </w:rPr>
    </w:lvl>
    <w:lvl w:ilvl="1" w:tentative="0">
      <w:start w:val="1"/>
      <w:numFmt w:val="lowerLetter"/>
      <w:lvlText w:val="%2)"/>
      <w:lvlJc w:val="left"/>
      <w:pPr>
        <w:ind w:left="960" w:hanging="480"/>
      </w:pPr>
    </w:lvl>
    <w:lvl w:ilvl="2" w:tentative="0">
      <w:start w:val="1"/>
      <w:numFmt w:val="lowerRoman"/>
      <w:lvlText w:val="%3."/>
      <w:lvlJc w:val="right"/>
      <w:pPr>
        <w:ind w:left="1440" w:hanging="480"/>
      </w:pPr>
    </w:lvl>
    <w:lvl w:ilvl="3" w:tentative="0">
      <w:start w:val="1"/>
      <w:numFmt w:val="decimal"/>
      <w:lvlText w:val="%4."/>
      <w:lvlJc w:val="left"/>
      <w:pPr>
        <w:ind w:left="1920" w:hanging="480"/>
      </w:pPr>
    </w:lvl>
    <w:lvl w:ilvl="4" w:tentative="0">
      <w:start w:val="1"/>
      <w:numFmt w:val="lowerLetter"/>
      <w:lvlText w:val="%5)"/>
      <w:lvlJc w:val="left"/>
      <w:pPr>
        <w:ind w:left="2400" w:hanging="480"/>
      </w:pPr>
    </w:lvl>
    <w:lvl w:ilvl="5" w:tentative="0">
      <w:start w:val="1"/>
      <w:numFmt w:val="lowerRoman"/>
      <w:lvlText w:val="%6."/>
      <w:lvlJc w:val="right"/>
      <w:pPr>
        <w:ind w:left="2880" w:hanging="480"/>
      </w:pPr>
    </w:lvl>
    <w:lvl w:ilvl="6" w:tentative="0">
      <w:start w:val="1"/>
      <w:numFmt w:val="decimal"/>
      <w:lvlText w:val="%7."/>
      <w:lvlJc w:val="left"/>
      <w:pPr>
        <w:ind w:left="3360" w:hanging="480"/>
      </w:pPr>
    </w:lvl>
    <w:lvl w:ilvl="7" w:tentative="0">
      <w:start w:val="1"/>
      <w:numFmt w:val="lowerLetter"/>
      <w:lvlText w:val="%8)"/>
      <w:lvlJc w:val="left"/>
      <w:pPr>
        <w:ind w:left="3840" w:hanging="480"/>
      </w:pPr>
    </w:lvl>
    <w:lvl w:ilvl="8" w:tentative="0">
      <w:start w:val="1"/>
      <w:numFmt w:val="lowerRoman"/>
      <w:lvlText w:val="%9."/>
      <w:lvlJc w:val="right"/>
      <w:pPr>
        <w:ind w:left="4320" w:hanging="480"/>
      </w:pPr>
    </w:lvl>
  </w:abstractNum>
  <w:abstractNum w:abstractNumId="1">
    <w:nsid w:val="4E2A5E94"/>
    <w:multiLevelType w:val="multilevel"/>
    <w:tmpl w:val="4E2A5E94"/>
    <w:lvl w:ilvl="0" w:tentative="0">
      <w:start w:val="1"/>
      <w:numFmt w:val="decimal"/>
      <w:lvlText w:val="（%1）"/>
      <w:lvlJc w:val="left"/>
      <w:pPr>
        <w:ind w:left="1200" w:hanging="7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
    <w:nsid w:val="5CFF5EE7"/>
    <w:multiLevelType w:val="singleLevel"/>
    <w:tmpl w:val="5CFF5EE7"/>
    <w:lvl w:ilvl="0" w:tentative="0">
      <w:start w:val="1"/>
      <w:numFmt w:val="decimal"/>
      <w:suff w:val="nothing"/>
      <w:lvlText w:val="（%1）"/>
      <w:lvlJc w:val="left"/>
    </w:lvl>
  </w:abstractNum>
  <w:abstractNum w:abstractNumId="3">
    <w:nsid w:val="5DBD2B0C"/>
    <w:multiLevelType w:val="singleLevel"/>
    <w:tmpl w:val="5DBD2B0C"/>
    <w:lvl w:ilvl="0" w:tentative="0">
      <w:start w:val="2"/>
      <w:numFmt w:val="chineseCounting"/>
      <w:suff w:val="nothing"/>
      <w:lvlText w:val="（%1）"/>
      <w:lvlJc w:val="left"/>
    </w:lvl>
  </w:abstractNum>
  <w:abstractNum w:abstractNumId="4">
    <w:nsid w:val="623272AE"/>
    <w:multiLevelType w:val="multilevel"/>
    <w:tmpl w:val="623272AE"/>
    <w:lvl w:ilvl="0" w:tentative="0">
      <w:start w:val="2"/>
      <w:numFmt w:val="chineseCountingThousand"/>
      <w:lvlText w:val="%1、"/>
      <w:lvlJc w:val="left"/>
      <w:pPr>
        <w:ind w:left="720" w:hanging="720"/>
      </w:pPr>
      <w:rPr>
        <w:rFonts w:hint="eastAsia"/>
      </w:rPr>
    </w:lvl>
    <w:lvl w:ilvl="1" w:tentative="0">
      <w:start w:val="1"/>
      <w:numFmt w:val="lowerLetter"/>
      <w:lvlText w:val="%2)"/>
      <w:lvlJc w:val="left"/>
      <w:pPr>
        <w:ind w:left="960" w:hanging="480"/>
      </w:pPr>
      <w:rPr>
        <w:rFonts w:hint="eastAsia"/>
      </w:rPr>
    </w:lvl>
    <w:lvl w:ilvl="2" w:tentative="0">
      <w:start w:val="1"/>
      <w:numFmt w:val="lowerRoman"/>
      <w:lvlText w:val="%3."/>
      <w:lvlJc w:val="right"/>
      <w:pPr>
        <w:ind w:left="1440" w:hanging="480"/>
      </w:pPr>
      <w:rPr>
        <w:rFonts w:hint="eastAsia"/>
      </w:rPr>
    </w:lvl>
    <w:lvl w:ilvl="3" w:tentative="0">
      <w:start w:val="1"/>
      <w:numFmt w:val="decimal"/>
      <w:lvlText w:val="%4."/>
      <w:lvlJc w:val="left"/>
      <w:pPr>
        <w:ind w:left="1920" w:hanging="480"/>
      </w:pPr>
      <w:rPr>
        <w:rFonts w:hint="eastAsia"/>
      </w:rPr>
    </w:lvl>
    <w:lvl w:ilvl="4" w:tentative="0">
      <w:start w:val="1"/>
      <w:numFmt w:val="lowerLetter"/>
      <w:lvlText w:val="%5)"/>
      <w:lvlJc w:val="left"/>
      <w:pPr>
        <w:ind w:left="2400" w:hanging="480"/>
      </w:pPr>
      <w:rPr>
        <w:rFonts w:hint="eastAsia"/>
      </w:rPr>
    </w:lvl>
    <w:lvl w:ilvl="5" w:tentative="0">
      <w:start w:val="1"/>
      <w:numFmt w:val="lowerRoman"/>
      <w:lvlText w:val="%6."/>
      <w:lvlJc w:val="right"/>
      <w:pPr>
        <w:ind w:left="2880" w:hanging="480"/>
      </w:pPr>
      <w:rPr>
        <w:rFonts w:hint="eastAsia"/>
      </w:rPr>
    </w:lvl>
    <w:lvl w:ilvl="6" w:tentative="0">
      <w:start w:val="1"/>
      <w:numFmt w:val="decimal"/>
      <w:lvlText w:val="%7."/>
      <w:lvlJc w:val="left"/>
      <w:pPr>
        <w:ind w:left="3360" w:hanging="480"/>
      </w:pPr>
      <w:rPr>
        <w:rFonts w:hint="eastAsia"/>
      </w:rPr>
    </w:lvl>
    <w:lvl w:ilvl="7" w:tentative="0">
      <w:start w:val="1"/>
      <w:numFmt w:val="lowerLetter"/>
      <w:lvlText w:val="%8)"/>
      <w:lvlJc w:val="left"/>
      <w:pPr>
        <w:ind w:left="3840" w:hanging="480"/>
      </w:pPr>
      <w:rPr>
        <w:rFonts w:hint="eastAsia"/>
      </w:rPr>
    </w:lvl>
    <w:lvl w:ilvl="8" w:tentative="0">
      <w:start w:val="1"/>
      <w:numFmt w:val="lowerRoman"/>
      <w:lvlText w:val="%9."/>
      <w:lvlJc w:val="right"/>
      <w:pPr>
        <w:ind w:left="4320" w:hanging="480"/>
      </w:pPr>
      <w:rPr>
        <w:rFonts w:hint="eastAsia"/>
      </w:r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64"/>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footnotePr>
    <w:footnote w:id="22"/>
    <w:footnote w:id="23"/>
  </w:foot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120"/>
    <w:rsid w:val="00006BE8"/>
    <w:rsid w:val="00022849"/>
    <w:rsid w:val="00072199"/>
    <w:rsid w:val="000E7AC8"/>
    <w:rsid w:val="00127703"/>
    <w:rsid w:val="00226081"/>
    <w:rsid w:val="00255F03"/>
    <w:rsid w:val="003440D5"/>
    <w:rsid w:val="003713AA"/>
    <w:rsid w:val="003A218D"/>
    <w:rsid w:val="003C2089"/>
    <w:rsid w:val="003C7861"/>
    <w:rsid w:val="004673CE"/>
    <w:rsid w:val="00494FD7"/>
    <w:rsid w:val="004972A3"/>
    <w:rsid w:val="00533807"/>
    <w:rsid w:val="00564715"/>
    <w:rsid w:val="00566F87"/>
    <w:rsid w:val="006637D5"/>
    <w:rsid w:val="007574D8"/>
    <w:rsid w:val="008775F5"/>
    <w:rsid w:val="0093156A"/>
    <w:rsid w:val="009530D8"/>
    <w:rsid w:val="00955EB4"/>
    <w:rsid w:val="009560F8"/>
    <w:rsid w:val="00AD0B95"/>
    <w:rsid w:val="00B61A61"/>
    <w:rsid w:val="00B75423"/>
    <w:rsid w:val="00BC7B96"/>
    <w:rsid w:val="00C53120"/>
    <w:rsid w:val="00CB3FDA"/>
    <w:rsid w:val="00D171C3"/>
    <w:rsid w:val="00EA4391"/>
    <w:rsid w:val="00EA5C1E"/>
    <w:rsid w:val="00F1013F"/>
    <w:rsid w:val="00F108D5"/>
    <w:rsid w:val="00F54305"/>
    <w:rsid w:val="05827C14"/>
    <w:rsid w:val="06BB1DD8"/>
    <w:rsid w:val="08B33E7B"/>
    <w:rsid w:val="0B0906C1"/>
    <w:rsid w:val="0E335D01"/>
    <w:rsid w:val="1AEA47DF"/>
    <w:rsid w:val="1FE732C8"/>
    <w:rsid w:val="2031005A"/>
    <w:rsid w:val="27D56178"/>
    <w:rsid w:val="29960DF7"/>
    <w:rsid w:val="2E33126C"/>
    <w:rsid w:val="2EC7724F"/>
    <w:rsid w:val="30A64484"/>
    <w:rsid w:val="31AE02F3"/>
    <w:rsid w:val="34C7670C"/>
    <w:rsid w:val="358E7A81"/>
    <w:rsid w:val="36444E01"/>
    <w:rsid w:val="382E4AA0"/>
    <w:rsid w:val="3A867068"/>
    <w:rsid w:val="3C6D4CCA"/>
    <w:rsid w:val="3EC5718B"/>
    <w:rsid w:val="42991B42"/>
    <w:rsid w:val="4562009F"/>
    <w:rsid w:val="4656511C"/>
    <w:rsid w:val="4E8771E1"/>
    <w:rsid w:val="540814B8"/>
    <w:rsid w:val="583510E3"/>
    <w:rsid w:val="58950F7C"/>
    <w:rsid w:val="59AF889E"/>
    <w:rsid w:val="5DC15B8B"/>
    <w:rsid w:val="5E331026"/>
    <w:rsid w:val="625D7D58"/>
    <w:rsid w:val="691755B4"/>
    <w:rsid w:val="6E97CD0C"/>
    <w:rsid w:val="75750AE9"/>
    <w:rsid w:val="76623DF0"/>
    <w:rsid w:val="7824193F"/>
    <w:rsid w:val="79DF9E37"/>
    <w:rsid w:val="79EA4F76"/>
    <w:rsid w:val="7F57330E"/>
    <w:rsid w:val="EBBF575A"/>
    <w:rsid w:val="EBC64669"/>
    <w:rsid w:val="EFDFD0CB"/>
    <w:rsid w:val="F3FE1621"/>
    <w:rsid w:val="FF57D05E"/>
    <w:rsid w:val="FFACDAC9"/>
    <w:rsid w:val="FFB784F1"/>
    <w:rsid w:val="FFBB5BF6"/>
    <w:rsid w:val="FFEAB2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4">
    <w:name w:val="Default Paragraph Font"/>
    <w:unhideWhenUsed/>
    <w:qFormat/>
    <w:uiPriority w:val="1"/>
  </w:style>
  <w:style w:type="table" w:default="1" w:styleId="12">
    <w:name w:val="Normal Table"/>
    <w:unhideWhenUsed/>
    <w:qFormat/>
    <w:uiPriority w:val="99"/>
    <w:tblPr>
      <w:tblCellMar>
        <w:top w:w="0" w:type="dxa"/>
        <w:left w:w="108" w:type="dxa"/>
        <w:bottom w:w="0" w:type="dxa"/>
        <w:right w:w="108" w:type="dxa"/>
      </w:tblCellMar>
    </w:tblPr>
  </w:style>
  <w:style w:type="paragraph" w:styleId="5">
    <w:name w:val="annotation text"/>
    <w:basedOn w:val="1"/>
    <w:link w:val="30"/>
    <w:unhideWhenUsed/>
    <w:qFormat/>
    <w:uiPriority w:val="99"/>
    <w:pPr>
      <w:jc w:val="left"/>
    </w:pPr>
  </w:style>
  <w:style w:type="paragraph" w:styleId="6">
    <w:name w:val="Balloon Text"/>
    <w:basedOn w:val="1"/>
    <w:link w:val="28"/>
    <w:unhideWhenUsed/>
    <w:qFormat/>
    <w:uiPriority w:val="99"/>
    <w:rPr>
      <w:sz w:val="18"/>
      <w:szCs w:val="18"/>
    </w:rPr>
  </w:style>
  <w:style w:type="paragraph" w:styleId="7">
    <w:name w:val="footer"/>
    <w:basedOn w:val="1"/>
    <w:link w:val="22"/>
    <w:unhideWhenUsed/>
    <w:qFormat/>
    <w:uiPriority w:val="99"/>
    <w:pPr>
      <w:tabs>
        <w:tab w:val="center" w:pos="4153"/>
        <w:tab w:val="right" w:pos="8306"/>
      </w:tabs>
      <w:snapToGrid w:val="0"/>
      <w:jc w:val="left"/>
    </w:pPr>
    <w:rPr>
      <w:sz w:val="18"/>
      <w:szCs w:val="18"/>
    </w:rPr>
  </w:style>
  <w:style w:type="paragraph" w:styleId="8">
    <w:name w:val="header"/>
    <w:basedOn w:val="1"/>
    <w:link w:val="21"/>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footnote text"/>
    <w:basedOn w:val="1"/>
    <w:link w:val="20"/>
    <w:unhideWhenUsed/>
    <w:qFormat/>
    <w:uiPriority w:val="99"/>
    <w:pPr>
      <w:snapToGrid w:val="0"/>
      <w:jc w:val="left"/>
    </w:pPr>
    <w:rPr>
      <w:sz w:val="18"/>
      <w:szCs w:val="18"/>
    </w:rPr>
  </w:style>
  <w:style w:type="paragraph" w:styleId="10">
    <w:name w:val="Normal (Web)"/>
    <w:basedOn w:val="1"/>
    <w:unhideWhenUsed/>
    <w:qFormat/>
    <w:uiPriority w:val="99"/>
    <w:pPr>
      <w:spacing w:beforeAutospacing="1" w:afterAutospacing="1"/>
      <w:jc w:val="left"/>
    </w:pPr>
    <w:rPr>
      <w:rFonts w:cs="Times New Roman"/>
      <w:kern w:val="0"/>
      <w:sz w:val="24"/>
    </w:rPr>
  </w:style>
  <w:style w:type="paragraph" w:styleId="11">
    <w:name w:val="annotation subject"/>
    <w:basedOn w:val="5"/>
    <w:next w:val="5"/>
    <w:link w:val="31"/>
    <w:unhideWhenUsed/>
    <w:qFormat/>
    <w:uiPriority w:val="99"/>
    <w:rPr>
      <w:b/>
      <w:bCs/>
    </w:rPr>
  </w:style>
  <w:style w:type="table" w:styleId="13">
    <w:name w:val="Table Grid"/>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FollowedHyperlink"/>
    <w:basedOn w:val="14"/>
    <w:unhideWhenUsed/>
    <w:qFormat/>
    <w:uiPriority w:val="99"/>
    <w:rPr>
      <w:color w:val="800080" w:themeColor="followedHyperlink"/>
      <w:u w:val="single"/>
      <w14:textFill>
        <w14:solidFill>
          <w14:schemeClr w14:val="folHlink"/>
        </w14:solidFill>
      </w14:textFill>
    </w:rPr>
  </w:style>
  <w:style w:type="character" w:styleId="16">
    <w:name w:val="Emphasis"/>
    <w:basedOn w:val="14"/>
    <w:qFormat/>
    <w:uiPriority w:val="20"/>
    <w:rPr>
      <w:i/>
    </w:rPr>
  </w:style>
  <w:style w:type="character" w:styleId="17">
    <w:name w:val="Hyperlink"/>
    <w:basedOn w:val="14"/>
    <w:unhideWhenUsed/>
    <w:qFormat/>
    <w:uiPriority w:val="99"/>
    <w:rPr>
      <w:color w:val="0000FF"/>
      <w:u w:val="single"/>
    </w:rPr>
  </w:style>
  <w:style w:type="character" w:styleId="18">
    <w:name w:val="annotation reference"/>
    <w:basedOn w:val="14"/>
    <w:unhideWhenUsed/>
    <w:qFormat/>
    <w:uiPriority w:val="99"/>
    <w:rPr>
      <w:sz w:val="21"/>
      <w:szCs w:val="21"/>
    </w:rPr>
  </w:style>
  <w:style w:type="character" w:styleId="19">
    <w:name w:val="footnote reference"/>
    <w:basedOn w:val="14"/>
    <w:unhideWhenUsed/>
    <w:qFormat/>
    <w:uiPriority w:val="99"/>
    <w:rPr>
      <w:vertAlign w:val="superscript"/>
    </w:rPr>
  </w:style>
  <w:style w:type="character" w:customStyle="1" w:styleId="20">
    <w:name w:val="脚注文本 字符"/>
    <w:basedOn w:val="14"/>
    <w:link w:val="9"/>
    <w:qFormat/>
    <w:uiPriority w:val="99"/>
    <w:rPr>
      <w:sz w:val="18"/>
      <w:szCs w:val="18"/>
    </w:rPr>
  </w:style>
  <w:style w:type="character" w:customStyle="1" w:styleId="21">
    <w:name w:val="页眉 字符"/>
    <w:basedOn w:val="14"/>
    <w:link w:val="8"/>
    <w:qFormat/>
    <w:uiPriority w:val="99"/>
    <w:rPr>
      <w:sz w:val="18"/>
      <w:szCs w:val="18"/>
    </w:rPr>
  </w:style>
  <w:style w:type="character" w:customStyle="1" w:styleId="22">
    <w:name w:val="页脚 字符"/>
    <w:basedOn w:val="14"/>
    <w:link w:val="7"/>
    <w:qFormat/>
    <w:uiPriority w:val="99"/>
    <w:rPr>
      <w:sz w:val="18"/>
      <w:szCs w:val="18"/>
    </w:rPr>
  </w:style>
  <w:style w:type="paragraph" w:customStyle="1" w:styleId="23">
    <w:name w:val="列表段落1"/>
    <w:basedOn w:val="1"/>
    <w:qFormat/>
    <w:uiPriority w:val="34"/>
    <w:pPr>
      <w:ind w:firstLine="420" w:firstLineChars="200"/>
    </w:pPr>
  </w:style>
  <w:style w:type="table" w:customStyle="1" w:styleId="24">
    <w:name w:val="网格型1"/>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
    <w:name w:val="网格型2"/>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6">
    <w:name w:val="标题 1 字符"/>
    <w:basedOn w:val="14"/>
    <w:link w:val="2"/>
    <w:qFormat/>
    <w:uiPriority w:val="9"/>
    <w:rPr>
      <w:b/>
      <w:bCs/>
      <w:kern w:val="44"/>
      <w:sz w:val="44"/>
      <w:szCs w:val="44"/>
    </w:rPr>
  </w:style>
  <w:style w:type="character" w:customStyle="1" w:styleId="27">
    <w:name w:val="标题 2 字符"/>
    <w:basedOn w:val="14"/>
    <w:link w:val="3"/>
    <w:qFormat/>
    <w:uiPriority w:val="9"/>
    <w:rPr>
      <w:rFonts w:asciiTheme="majorHAnsi" w:hAnsiTheme="majorHAnsi" w:eastAsiaTheme="majorEastAsia" w:cstheme="majorBidi"/>
      <w:b/>
      <w:bCs/>
      <w:sz w:val="32"/>
      <w:szCs w:val="32"/>
    </w:rPr>
  </w:style>
  <w:style w:type="character" w:customStyle="1" w:styleId="28">
    <w:name w:val="批注框文本 字符"/>
    <w:basedOn w:val="14"/>
    <w:link w:val="6"/>
    <w:semiHidden/>
    <w:qFormat/>
    <w:uiPriority w:val="99"/>
    <w:rPr>
      <w:kern w:val="2"/>
      <w:sz w:val="18"/>
      <w:szCs w:val="18"/>
    </w:rPr>
  </w:style>
  <w:style w:type="table" w:customStyle="1" w:styleId="29">
    <w:name w:val="网格型3"/>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0">
    <w:name w:val="批注文字 字符"/>
    <w:basedOn w:val="14"/>
    <w:link w:val="5"/>
    <w:semiHidden/>
    <w:qFormat/>
    <w:uiPriority w:val="99"/>
    <w:rPr>
      <w:kern w:val="2"/>
      <w:sz w:val="21"/>
      <w:szCs w:val="22"/>
    </w:rPr>
  </w:style>
  <w:style w:type="character" w:customStyle="1" w:styleId="31">
    <w:name w:val="批注主题 字符"/>
    <w:basedOn w:val="30"/>
    <w:link w:val="11"/>
    <w:semiHidden/>
    <w:qFormat/>
    <w:uiPriority w:val="99"/>
    <w:rPr>
      <w:b/>
      <w:bCs/>
      <w:kern w:val="2"/>
      <w:sz w:val="21"/>
      <w:szCs w:val="22"/>
    </w:rPr>
  </w:style>
  <w:style w:type="character" w:customStyle="1" w:styleId="32">
    <w:name w:val="标题 3 字符"/>
    <w:basedOn w:val="14"/>
    <w:link w:val="4"/>
    <w:semiHidden/>
    <w:qFormat/>
    <w:uiPriority w:val="9"/>
    <w:rPr>
      <w:b/>
      <w:bCs/>
      <w:kern w:val="2"/>
      <w:sz w:val="32"/>
      <w:szCs w:val="32"/>
    </w:rPr>
  </w:style>
  <w:style w:type="paragraph" w:customStyle="1" w:styleId="33">
    <w:name w:val="列表段落2"/>
    <w:basedOn w:val="1"/>
    <w:qFormat/>
    <w:uiPriority w:val="99"/>
    <w:pPr>
      <w:ind w:firstLine="420" w:firstLineChars="200"/>
    </w:pPr>
  </w:style>
  <w:style w:type="character" w:customStyle="1" w:styleId="34">
    <w:name w:val="未处理的提及1"/>
    <w:basedOn w:val="14"/>
    <w:unhideWhenUsed/>
    <w:qFormat/>
    <w:uiPriority w:val="99"/>
    <w:rPr>
      <w:color w:val="605E5C"/>
      <w:shd w:val="clear" w:color="auto" w:fill="E1DFDD"/>
    </w:rPr>
  </w:style>
  <w:style w:type="paragraph" w:customStyle="1" w:styleId="35">
    <w:name w:val="List Paragraph"/>
    <w:basedOn w:val="1"/>
    <w:qFormat/>
    <w:uiPriority w:val="99"/>
    <w:pPr>
      <w:ind w:firstLine="420" w:firstLineChars="200"/>
    </w:pPr>
  </w:style>
  <w:style w:type="character" w:customStyle="1" w:styleId="36">
    <w:name w:val="未处理的提及2"/>
    <w:basedOn w:val="14"/>
    <w:unhideWhenUsed/>
    <w:qFormat/>
    <w:uiPriority w:val="99"/>
    <w:rPr>
      <w:color w:val="605E5C"/>
      <w:shd w:val="clear" w:color="auto" w:fill="E1DFDD"/>
    </w:rPr>
  </w:style>
  <w:style w:type="character" w:customStyle="1" w:styleId="37">
    <w:name w:val="15"/>
    <w:basedOn w:val="14"/>
    <w:qFormat/>
    <w:uiPriority w:val="0"/>
    <w:rPr>
      <w:rFonts w:hint="default" w:ascii="Times New Roman" w:hAnsi="Times New Roman" w:cs="Times New Roman"/>
      <w:color w:val="800080"/>
      <w:u w:val="single"/>
    </w:rPr>
  </w:style>
  <w:style w:type="character" w:customStyle="1" w:styleId="38">
    <w:name w:val="10"/>
    <w:basedOn w:val="14"/>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723</Words>
  <Characters>4124</Characters>
  <Lines>34</Lines>
  <Paragraphs>9</Paragraphs>
  <TotalTime>0</TotalTime>
  <ScaleCrop>false</ScaleCrop>
  <LinksUpToDate>false</LinksUpToDate>
  <CharactersWithSpaces>4838</CharactersWithSpaces>
  <Application>WPS Office_11.1.0.11372_F1E327BC-269C-435d-A152-05C5408002CA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2019-09-20T15:39:00Z</dcterms:created>
  <dc:creator>汪景涛</dc:creator>
  <cp:lastModifiedBy>扶我起来</cp:lastModifiedBy>
  <dcterms:modified xsi:type="dcterms:W3CDTF">2022-06-09T08:14:56Z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2052-11.1.0.11372</vt:lpwstr>
  </property>
  <property fmtid="{D5CDD505-2E9C-101B-9397-08002B2CF9AE}" pid="3" name="KSORubyTemplateID">
    <vt:lpwstr>6</vt:lpwstr>
  </property>
  <property fmtid="{D5CDD505-2E9C-101B-9397-08002B2CF9AE}" pid="4" name="ICV">
    <vt:lpwstr>D2FA0CD6924B4B74B1CD7097D91A7CC7</vt:lpwstr>
  </property>
  <property fmtid="{D5CDD505-2E9C-101B-9397-08002B2CF9AE}" pid="5" name="CWM84b0d200810b11f1800041aa000041aa">
    <vt:lpwstr>CWMoZJiWv+G17Tc9m6o+0z2oddAv340HpiNKNgeFGS1KQWw7Wc3fcFhztemhVdBKrDFCBzZmM65G5c3loLyExPskQ==</vt:lpwstr>
  </property>
  <property fmtid="{D5CDD505-2E9C-101B-9397-08002B2CF9AE}" pid="6" name="fileWhereFroms">
    <vt:lpwstr>PpjeLB1gRN0lwrPqMaCTkgXPaB/g0LykpOKmasWojKuZkJvUKbOn5wEK7u6LzonF08gdphIo0ygNyViV5C0LTlNzRxPAMG5xPZu7uC7bv0uL1Kex5PfDuKQOg5o6epURLaTi0LjsmSIJaFWi9SmBj4BXPt/KUhOY4m5mv1+wFS/WQT5dAwbNsvvFcRmZ1+E9bxVCuTHedtfAlWHpHh6zsU/7YyfdpTFxzKfC6fats9RhmuYDr5NH8EL5iEjk0A8DdeNKsIMgyuefMBeA+jyqHg==</vt:lpwstr>
  </property>
</Properties>
</file>