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74E55">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40"/>
        </w:rPr>
      </w:pPr>
      <w:r>
        <w:rPr>
          <w:rFonts w:hint="eastAsia" w:ascii="黑体" w:hAnsi="黑体" w:eastAsia="黑体" w:cs="黑体"/>
          <w:sz w:val="32"/>
          <w:szCs w:val="40"/>
        </w:rPr>
        <w:t>科威特劳动人事政策最新发展与合规要点</w:t>
      </w:r>
    </w:p>
    <w:p w14:paraId="3DBD8F93">
      <w:pPr>
        <w:keepNext w:val="0"/>
        <w:keepLines w:val="0"/>
        <w:pageBreakBefore w:val="0"/>
        <w:widowControl w:val="0"/>
        <w:kinsoku/>
        <w:wordWrap/>
        <w:overflowPunct/>
        <w:topLinePunct w:val="0"/>
        <w:autoSpaceDE/>
        <w:autoSpaceDN/>
        <w:bidi w:val="0"/>
        <w:adjustRightInd/>
        <w:snapToGrid/>
        <w:jc w:val="center"/>
        <w:textAlignment w:val="auto"/>
        <w:rPr>
          <w:rFonts w:hint="eastAsia"/>
        </w:rPr>
      </w:pPr>
      <w:r>
        <w:rPr>
          <w:rFonts w:hint="eastAsia"/>
        </w:rPr>
        <w:t>上海保华律师事务所</w:t>
      </w:r>
    </w:p>
    <w:p w14:paraId="11E6AD9F">
      <w:pPr>
        <w:keepNext w:val="0"/>
        <w:keepLines w:val="0"/>
        <w:pageBreakBefore w:val="0"/>
        <w:widowControl w:val="0"/>
        <w:kinsoku/>
        <w:wordWrap/>
        <w:overflowPunct/>
        <w:topLinePunct w:val="0"/>
        <w:autoSpaceDE/>
        <w:autoSpaceDN/>
        <w:bidi w:val="0"/>
        <w:adjustRightInd/>
        <w:snapToGrid/>
        <w:jc w:val="center"/>
        <w:textAlignment w:val="auto"/>
        <w:rPr>
          <w:rFonts w:hint="eastAsia"/>
        </w:rPr>
      </w:pPr>
      <w:r>
        <w:rPr>
          <w:rFonts w:hint="eastAsia"/>
        </w:rPr>
        <w:t>董有菊</w:t>
      </w:r>
    </w:p>
    <w:p w14:paraId="17EA4F0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6D8BA5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黑体" w:hAnsi="黑体" w:eastAsia="黑体" w:cs="黑体"/>
          <w:sz w:val="24"/>
          <w:szCs w:val="32"/>
        </w:rPr>
      </w:pPr>
      <w:r>
        <w:rPr>
          <w:rFonts w:hint="eastAsia" w:ascii="黑体" w:hAnsi="黑体" w:eastAsia="黑体" w:cs="黑体"/>
          <w:sz w:val="24"/>
          <w:szCs w:val="32"/>
        </w:rPr>
        <w:t>一、发布背景</w:t>
      </w:r>
    </w:p>
    <w:p w14:paraId="291C03C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科威特作为海湾地区重要石油经济体，近年来在</w:t>
      </w:r>
      <w:r>
        <w:rPr>
          <w:rFonts w:hint="eastAsia"/>
          <w:lang w:eastAsia="zh-CN"/>
        </w:rPr>
        <w:t>“</w:t>
      </w:r>
      <w:r>
        <w:rPr>
          <w:rFonts w:hint="eastAsia"/>
        </w:rPr>
        <w:t>科威特2035愿景</w:t>
      </w:r>
      <w:r>
        <w:rPr>
          <w:rFonts w:hint="eastAsia"/>
          <w:lang w:eastAsia="zh-CN"/>
        </w:rPr>
        <w:t>”</w:t>
      </w:r>
      <w:r>
        <w:rPr>
          <w:rFonts w:hint="eastAsia"/>
        </w:rPr>
        <w:t>框架下持续推进经济多元化。根据商务部国别研究指南，科威特劳动力市场呈现严重的外籍劳工主导特征，截至2022年底外籍劳动力约234.8万人，占当地总劳动力人口的84.1%。为提升本国公民就业率，科威特政府近年来持续强化</w:t>
      </w:r>
      <w:r>
        <w:rPr>
          <w:rFonts w:hint="eastAsia"/>
          <w:lang w:eastAsia="zh-CN"/>
        </w:rPr>
        <w:t>“</w:t>
      </w:r>
      <w:r>
        <w:rPr>
          <w:rFonts w:hint="eastAsia"/>
        </w:rPr>
        <w:t>科威特化</w:t>
      </w:r>
      <w:r>
        <w:rPr>
          <w:rFonts w:hint="eastAsia"/>
          <w:lang w:eastAsia="zh-CN"/>
        </w:rPr>
        <w:t>”</w:t>
      </w:r>
      <w:r>
        <w:rPr>
          <w:rFonts w:hint="eastAsia"/>
        </w:rPr>
        <w:t>（Kuwaitization）政策。2010年第6号法律《私营部门劳动法》构成现行劳动法制核心框架，适用于绝大多数私营部门雇佣关系。2020年11月，科威特颁布《人口法案》；2023年成立人口管制委员会，计划将本国人口占比由约30%提升至70%。</w:t>
      </w:r>
    </w:p>
    <w:p w14:paraId="4FA7C6B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黑体" w:hAnsi="黑体" w:eastAsia="黑体" w:cs="黑体"/>
          <w:sz w:val="24"/>
          <w:szCs w:val="32"/>
        </w:rPr>
      </w:pPr>
      <w:r>
        <w:rPr>
          <w:rFonts w:hint="eastAsia" w:ascii="黑体" w:hAnsi="黑体" w:eastAsia="黑体" w:cs="黑体"/>
          <w:sz w:val="24"/>
          <w:szCs w:val="32"/>
        </w:rPr>
        <w:t>二、核心要点及分析</w:t>
      </w:r>
    </w:p>
    <w:p w14:paraId="4C2DAA7A">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（一）劳动合同与用工形式</w:t>
      </w:r>
    </w:p>
    <w:p w14:paraId="521A64B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根据《私营部门劳动法》，招聘工人须签订书面或口头合同，内容须特别说明招聘日期、工资数量及合同期限。合同可分为固定期限与无固定期限两类：固定期限合同期限不少于一年且不超过五年，期满可延期；合同届满后未续签但继续履行的，视为续签。所有合同文件、通知及规章均以阿拉伯文书写，可附其他文字译本，但发生分歧时以阿文本为法律依据。法律禁止雇佣15岁以下未成年人。</w:t>
      </w:r>
    </w:p>
    <w:p w14:paraId="605A68E7">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（二）工时、加班与休假制度</w:t>
      </w:r>
    </w:p>
    <w:p w14:paraId="77DFF61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标准工作时间为每日8小时、每周48小时，斋月期间每周不得超过36小时。劳动者连续工作不得超过5小时（金融、商业和投资部门不得超过8小时），每天应保证1小时休息时间（不计入工作时长）。加班时间每天不超过2小时，一年不得超过180天；加班应获得1.25倍工资，夜间、节假日或周末加班支付1.5倍工资，公共假期工作支付2倍工资并提供补偿休息日。</w:t>
      </w:r>
    </w:p>
    <w:p w14:paraId="529BBED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在休假方面，劳动者在企业工作满9个月的，每年享有30天带薪休假，可累计但不得超过两年；未休年假的，合同期满时有权就累积年假获得现金对价。连续工作两年且未进行过朝觐的劳动者，有权享受21天带薪朝觐假期。病假分为五级：15天全薪、10天3/4薪、10天半薪、10天1/4薪、30天无薪，以政府医疗中心医生报告为准。</w:t>
      </w:r>
    </w:p>
    <w:p w14:paraId="688B2CA9">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（三）最低工资与工资支付</w:t>
      </w:r>
    </w:p>
    <w:p w14:paraId="2A1403B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根据现行规定，科威特私营部门和石油部门最低月工资为75科威特第纳尔（KWD），家庭佣工为60科第。《私营部门劳动法》对科威特籍劳动者无具体最低工资要求，但规定外籍劳动者最低月工资为250科第。工资须在科威特境内以第纳尔支付：按月领取薪酬的劳动者至少每月支付一次，其他劳动者每两周至少支付一次；延迟支付薪酬的，自应付之日起最长可延迟七天。雇佣五名及以上劳动者的雇主，应将工资支付到劳动者在本地金融机构开设的账户。</w:t>
      </w:r>
    </w:p>
    <w:p w14:paraId="2E26CBC2">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（四）外籍劳工管理与</w:t>
      </w:r>
      <w:r>
        <w:rPr>
          <w:rFonts w:hint="eastAsia"/>
          <w:b/>
          <w:bCs/>
          <w:lang w:eastAsia="zh-CN"/>
        </w:rPr>
        <w:t>“</w:t>
      </w:r>
      <w:r>
        <w:rPr>
          <w:rFonts w:hint="eastAsia"/>
          <w:b/>
          <w:bCs/>
        </w:rPr>
        <w:t>科威特化</w:t>
      </w:r>
      <w:r>
        <w:rPr>
          <w:rFonts w:hint="eastAsia"/>
          <w:b/>
          <w:bCs/>
          <w:lang w:eastAsia="zh-CN"/>
        </w:rPr>
        <w:t>”</w:t>
      </w:r>
      <w:r>
        <w:rPr>
          <w:rFonts w:hint="eastAsia"/>
          <w:b/>
          <w:bCs/>
        </w:rPr>
        <w:t>政策</w:t>
      </w:r>
    </w:p>
    <w:p w14:paraId="65F233A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科威特对外籍劳务实行代理人管理制及担保人制度（Kafala），外籍劳务人员须由科威特雇主担保并代为办理劳工手续。外国人须在社会事务和劳动部申请劳动许可证，有效期为2年，一年更换一次，且不超过居留期；阿拉伯国家和地区劳务人员享有优先权。业主招聘非科威特人须持有工作证或登记，优先雇佣顺序为：科威特籍工人、阿拉伯工人、外国工人。</w:t>
      </w:r>
    </w:p>
    <w:p w14:paraId="45AC763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近年来，科威特持续推进科威特化，减少外籍劳动力数量。2020年11月颁布《人口法案》，2023年成立人口管制委员会，计划将本国人口占比大幅提升。尽管科威特化推进面临挑战，但随着疫情影响减弱经济恢复，对外籍劳动力需求仍在增长，造成劳动力市场供需结构失衡，增加用工成本。</w:t>
      </w:r>
    </w:p>
    <w:p w14:paraId="679134ED">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（五）社会保险与劳动争议解决</w:t>
      </w:r>
    </w:p>
    <w:p w14:paraId="4FF618C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科威特籍雇员社保为强制性，社保税费以月工资为基数，雇员缴纳10.5%，雇主缴纳11.5%，缴费月收入上限为2,750科第。科威特实行全民免费医疗制度，社会保险不包括医疗保险，但企业须为外籍雇员缴纳医疗保险费。</w:t>
      </w:r>
    </w:p>
    <w:p w14:paraId="659AFFF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在劳动争议解决方面，工会与雇主间的谈判可上诉至社会事务和劳动部，或最终上诉至劳动仲裁委员会，该委员会包括来自社会事务与劳动部的官员、律师和法官。私营企业工人在仲裁无效且谈判未果时可罢工。</w:t>
      </w:r>
    </w:p>
    <w:p w14:paraId="0E835C4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黑体" w:hAnsi="黑体" w:eastAsia="黑体" w:cs="黑体"/>
          <w:sz w:val="24"/>
          <w:szCs w:val="32"/>
        </w:rPr>
      </w:pPr>
      <w:r>
        <w:rPr>
          <w:rFonts w:hint="eastAsia" w:ascii="黑体" w:hAnsi="黑体" w:eastAsia="黑体" w:cs="黑体"/>
          <w:sz w:val="24"/>
          <w:szCs w:val="32"/>
        </w:rPr>
        <w:t>三、影响评估</w:t>
      </w:r>
    </w:p>
    <w:p w14:paraId="36201806">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（一）受影响行业与主体</w:t>
      </w:r>
    </w:p>
    <w:p w14:paraId="785696C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科威特劳动政策的收紧对建筑承包、石油工程、商业餐饮、社会服务、金融保险及交通运输等行业的私营部门雇主产生直接影响。特别是建筑和能源领域作为外籍劳工最为集中的行业，面临显著的合规调整压力。所有在科威特注册的私营公司、外资企业代表处及分支机构均须遵守《私营部门劳动法》，但家庭佣人、不超过6个月的临时工、无机械设备且工人少于5名的小铺业主及海上作业工人等除外。</w:t>
      </w:r>
    </w:p>
    <w:p w14:paraId="1D0EE696">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（二）对雇主合规成本的影响</w:t>
      </w:r>
    </w:p>
    <w:p w14:paraId="25B5F0B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雇主需承担新增的合规成本，包括：确保劳动合同以阿拉伯语书面签订并明确约定工资、工时等核心条款、调整薪酬系统以匹配最低工资标准、建立符合法律要求的工资支付周期、为科威特籍员工缴纳社保（11.5%）及为外籍员工缴纳医疗保险，以及可能因科威特化要求招聘本国国民产生的更高薪酬支出。对于屡次违规者，可能面临行政处罚及工作许可限制，合规风险显著上升。</w:t>
      </w:r>
    </w:p>
    <w:p w14:paraId="3127ABA5">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（三）对外籍劳工管理的影响</w:t>
      </w:r>
    </w:p>
    <w:p w14:paraId="64A219C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外籍劳工配额制、担保人制度及工作许可证有效期限制（2年）进一步收紧了外籍员工的准入和管理。更换雇主须重新办理担保及工作许可，增加了企业人力资源管理的行政成本。科威特化政策持续推进，政府通过限额管理制及征收更多费用提高雇用外国工人的成本，企业用工灵活性受到明显限制。</w:t>
      </w:r>
    </w:p>
    <w:p w14:paraId="07C83CB9">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（四）对中资企业的特别提示</w:t>
      </w:r>
    </w:p>
    <w:p w14:paraId="13C0EBC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在科中资企业应特别关注以下合规要点：第一，立即审查现有劳动合同，确保以阿拉伯语书面签订，明确约定招聘日期、工资数量及合同期限，避免口头合同引发的法律风险；第二，核对工资发放记录，确保不低于75科第/月（私营部门）或250科第/月（外籍员工）的最低工资标准，并建立每月至少一次的工资支付机制；第三，核查外籍员工工作许可证及居留证有效性，密切关注社会事务和劳动部发布的外籍劳务配额及科威特化比例要求；第四，规范加班管理，确保每日加班不超过2小时、全年不超过180天，并按1.25倍至2倍标准支付加班工资；第五，完善员工休假及病假管理制度，确保年假、病假及朝觐假符合法律规定；第六，为科威特籍员工足额缴纳社保，为外籍员工缴纳医疗保险，保留缴费凭证以应对劳动监察检查。</w:t>
      </w:r>
    </w:p>
    <w:p w14:paraId="0E73CEF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0260BA9">
      <w:pPr>
        <w:keepNext w:val="0"/>
        <w:keepLines w:val="0"/>
        <w:pageBreakBefore w:val="0"/>
        <w:widowControl w:val="0"/>
        <w:kinsoku/>
        <w:wordWrap/>
        <w:overflowPunct/>
        <w:topLinePunct w:val="0"/>
        <w:autoSpaceDE/>
        <w:autoSpaceDN/>
        <w:bidi w:val="0"/>
        <w:adjustRightInd/>
        <w:snapToGrid/>
        <w:textAlignment w:val="auto"/>
        <w:rPr>
          <w:rFonts w:hint="default" w:ascii="黑体" w:hAnsi="黑体" w:eastAsia="黑体" w:cs="黑体"/>
          <w:sz w:val="24"/>
          <w:szCs w:val="32"/>
          <w:lang w:val="en-US" w:eastAsia="zh-CN"/>
        </w:rPr>
      </w:pPr>
      <w:r>
        <w:rPr>
          <w:rFonts w:hint="eastAsia" w:ascii="黑体" w:hAnsi="黑体" w:eastAsia="黑体" w:cs="黑体"/>
          <w:sz w:val="24"/>
          <w:szCs w:val="32"/>
          <w:lang w:val="en-US" w:eastAsia="zh-CN"/>
        </w:rPr>
        <w:t>参考来源：</w:t>
      </w:r>
    </w:p>
    <w:p w14:paraId="2BF827F5">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lang w:val="en-US" w:eastAsia="zh-CN"/>
        </w:rPr>
        <w:t>-</w:t>
      </w:r>
      <w:r>
        <w:rPr>
          <w:rFonts w:hint="eastAsia"/>
        </w:rPr>
        <w:t>商务部：《对外投资合作国别（地区）指南——科威特》，访问链接：</w:t>
      </w:r>
    </w:p>
    <w:p w14:paraId="6274E50F">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rPr>
        <w:fldChar w:fldCharType="begin"/>
      </w:r>
      <w:r>
        <w:rPr>
          <w:rFonts w:hint="eastAsia"/>
        </w:rPr>
        <w:instrText xml:space="preserve"> HYPERLINK "https://www.mofcom.gov.cn/dl/gbdqzn/upload/keweite.pdf。" </w:instrText>
      </w:r>
      <w:r>
        <w:rPr>
          <w:rFonts w:hint="eastAsia"/>
        </w:rPr>
        <w:fldChar w:fldCharType="separate"/>
      </w:r>
      <w:r>
        <w:rPr>
          <w:rStyle w:val="4"/>
          <w:rFonts w:hint="eastAsia"/>
        </w:rPr>
        <w:t>https://www.mofcom.gov.cn/dl/gbdqzn/upload/keweite.pdf。</w:t>
      </w:r>
      <w:r>
        <w:rPr>
          <w:rFonts w:hint="eastAsia"/>
        </w:rPr>
        <w:fldChar w:fldCharType="end"/>
      </w:r>
    </w:p>
    <w:p w14:paraId="604AD273">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lang w:val="en-US" w:eastAsia="zh-CN"/>
        </w:rPr>
        <w:t>-</w:t>
      </w:r>
      <w:r>
        <w:rPr>
          <w:rFonts w:hint="eastAsia"/>
        </w:rPr>
        <w:t>中国驻科威特大使馆：《科威特劳动法》，访问链接：</w:t>
      </w:r>
    </w:p>
    <w:p w14:paraId="30377C7C">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rPr>
        <w:fldChar w:fldCharType="begin"/>
      </w:r>
      <w:r>
        <w:rPr>
          <w:rFonts w:hint="eastAsia"/>
        </w:rPr>
        <w:instrText xml:space="preserve"> HYPERLINK "https://kw.china-embassy.gov.cn/lsfw/fkxz/200908/P020250618639297241587.pdf。" </w:instrText>
      </w:r>
      <w:r>
        <w:rPr>
          <w:rFonts w:hint="eastAsia"/>
        </w:rPr>
        <w:fldChar w:fldCharType="separate"/>
      </w:r>
      <w:r>
        <w:rPr>
          <w:rStyle w:val="4"/>
          <w:rFonts w:hint="eastAsia"/>
        </w:rPr>
        <w:t>https://kw.china-embassy.gov.cn/lsfw/fkxz/200908/P020250618639297241587.pdf。</w:t>
      </w:r>
      <w:r>
        <w:rPr>
          <w:rFonts w:hint="eastAsia"/>
        </w:rPr>
        <w:fldChar w:fldCharType="end"/>
      </w:r>
    </w:p>
    <w:p w14:paraId="078A7837">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lang w:val="en-US" w:eastAsia="zh-CN"/>
        </w:rPr>
        <w:t>-</w:t>
      </w:r>
      <w:r>
        <w:rPr>
          <w:rFonts w:hint="eastAsia"/>
        </w:rPr>
        <w:t>华为云：《科威特》，访问链接：</w:t>
      </w:r>
    </w:p>
    <w:p w14:paraId="62F94A63">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rPr>
        <w:fldChar w:fldCharType="begin"/>
      </w:r>
      <w:r>
        <w:rPr>
          <w:rFonts w:hint="eastAsia"/>
        </w:rPr>
        <w:instrText xml:space="preserve"> HYPERLINK "https://casetf-pro-obs-4.obs.cn-north-4.myhuaweicloud.com/huaw/6819b493d18a725779dec310c185b02b.pdf。" </w:instrText>
      </w:r>
      <w:r>
        <w:rPr>
          <w:rFonts w:hint="eastAsia"/>
        </w:rPr>
        <w:fldChar w:fldCharType="separate"/>
      </w:r>
      <w:r>
        <w:rPr>
          <w:rStyle w:val="4"/>
          <w:rFonts w:hint="eastAsia"/>
        </w:rPr>
        <w:t>https://casetf-pro-obs-4.obs.cn-north-4.myhuaweicloud.com/huaw/6819b493d18a725779dec310c185b02b.pdf。</w:t>
      </w:r>
      <w:r>
        <w:rPr>
          <w:rFonts w:hint="eastAsia"/>
        </w:rPr>
        <w:fldChar w:fldCharType="end"/>
      </w:r>
    </w:p>
    <w:p w14:paraId="29ACC29B">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lang w:val="en-US" w:eastAsia="zh-CN"/>
        </w:rPr>
        <w:t>-</w:t>
      </w:r>
      <w:r>
        <w:rPr>
          <w:rFonts w:hint="eastAsia"/>
        </w:rPr>
        <w:t xml:space="preserve"> CCPIT：《企业对外投资国别（地区）营商环境指南——科威特》，访问链接：</w:t>
      </w:r>
    </w:p>
    <w:p w14:paraId="2B9531C0">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rPr>
        <w:fldChar w:fldCharType="begin"/>
      </w:r>
      <w:r>
        <w:rPr>
          <w:rFonts w:hint="eastAsia"/>
        </w:rPr>
        <w:instrText xml:space="preserve"> HYPERLINK "https://www.ccpit.org/image/1473840398441926657/fd5611fc1f564a8ab46d82a669b3bbe1.pdf。" </w:instrText>
      </w:r>
      <w:r>
        <w:rPr>
          <w:rFonts w:hint="eastAsia"/>
        </w:rPr>
        <w:fldChar w:fldCharType="separate"/>
      </w:r>
      <w:r>
        <w:rPr>
          <w:rStyle w:val="4"/>
          <w:rFonts w:hint="eastAsia"/>
        </w:rPr>
        <w:t>https://www.ccpit.org/image/1473840398441926657/fd5611fc1f564a8ab46d82a669b3bbe1.pdf。</w:t>
      </w:r>
      <w:r>
        <w:rPr>
          <w:rFonts w:hint="eastAsia"/>
        </w:rPr>
        <w:fldChar w:fldCharType="end"/>
      </w:r>
    </w:p>
    <w:p w14:paraId="4DA0C934">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lang w:val="en-US" w:eastAsia="zh-CN"/>
        </w:rPr>
        <w:t>-</w:t>
      </w:r>
      <w:r>
        <w:rPr>
          <w:rFonts w:hint="eastAsia"/>
        </w:rPr>
        <w:t xml:space="preserve"> Truein：《Kuwait Employment Laws 2025: A Guide to Kuwait's Labour Laws》，访问链接：</w:t>
      </w:r>
    </w:p>
    <w:p w14:paraId="215C45DB">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rPr>
        <w:fldChar w:fldCharType="begin"/>
      </w:r>
      <w:r>
        <w:rPr>
          <w:rFonts w:hint="eastAsia"/>
        </w:rPr>
        <w:instrText xml:space="preserve"> HYPERLINK "https://truein.com/wp-content/uploads/2025/04/Kuwait-Employment-Laws-2025_-A-Guide-to-Kuwaits-Labour-Laws.pdf。" </w:instrText>
      </w:r>
      <w:r>
        <w:rPr>
          <w:rFonts w:hint="eastAsia"/>
        </w:rPr>
        <w:fldChar w:fldCharType="separate"/>
      </w:r>
      <w:r>
        <w:rPr>
          <w:rStyle w:val="4"/>
          <w:rFonts w:hint="eastAsia"/>
        </w:rPr>
        <w:t>https://truein.com/wp-content/uploads/2025/04/Kuwait-Employment-Laws-2025_-A-Guide-to-Kuwaits-Labour-Laws.pdf。</w:t>
      </w:r>
      <w:r>
        <w:rPr>
          <w:rFonts w:hint="eastAsia"/>
        </w:rPr>
        <w:fldChar w:fldCharType="end"/>
      </w:r>
    </w:p>
    <w:p w14:paraId="74B08FD6">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lang w:val="en-US" w:eastAsia="zh-CN"/>
        </w:rPr>
        <w:t>-</w:t>
      </w:r>
      <w:r>
        <w:rPr>
          <w:rFonts w:hint="eastAsia"/>
        </w:rPr>
        <w:t>一带一路官网：《科威特》，访问链接：</w:t>
      </w:r>
    </w:p>
    <w:p w14:paraId="6BD266FC">
      <w:pPr>
        <w:keepNext w:val="0"/>
        <w:keepLines w:val="0"/>
        <w:pageBreakBefore w:val="0"/>
        <w:widowControl w:val="0"/>
        <w:kinsoku/>
        <w:wordWrap/>
        <w:overflowPunct/>
        <w:topLinePunct w:val="0"/>
        <w:autoSpaceDE/>
        <w:autoSpaceDN/>
        <w:bidi w:val="0"/>
        <w:adjustRightInd/>
        <w:snapToGrid/>
        <w:textAlignment w:val="auto"/>
        <w:rPr>
          <w:rFonts w:hint="eastAsia"/>
        </w:rPr>
      </w:pPr>
      <w:bookmarkStart w:id="0" w:name="_GoBack"/>
      <w:bookmarkEnd w:id="0"/>
      <w:r>
        <w:rPr>
          <w:rFonts w:hint="eastAsia"/>
        </w:rPr>
        <w:fldChar w:fldCharType="begin"/>
      </w:r>
      <w:r>
        <w:rPr>
          <w:rFonts w:hint="eastAsia"/>
        </w:rPr>
        <w:instrText xml:space="preserve"> HYPERLINK "https://www.yidaiyilu.gov.cn/wcm.files/upload/CMSydylgw/202002/202002140116018.pdf。" </w:instrText>
      </w:r>
      <w:r>
        <w:rPr>
          <w:rFonts w:hint="eastAsia"/>
        </w:rPr>
        <w:fldChar w:fldCharType="separate"/>
      </w:r>
      <w:r>
        <w:rPr>
          <w:rStyle w:val="4"/>
          <w:rFonts w:hint="eastAsia"/>
        </w:rPr>
        <w:t>https://www.yidaiyilu.gov.cn/wcm.files/upload/CMSydylgw/202002/202002140116018.pdf。</w:t>
      </w:r>
      <w:r>
        <w:rPr>
          <w:rFonts w:hint="eastAsia"/>
        </w:rPr>
        <w:fldChar w:fldCharType="end"/>
      </w:r>
    </w:p>
    <w:p w14:paraId="4D737F4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1A3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2026-05-25T04:02:51Z</dcterms:created>
  <dc:creator>86198</dc:creator>
  <cp:lastModifiedBy>大桔子橙</cp:lastModifiedBy>
  <dcterms:modified xsi:type="dcterms:W3CDTF">2026-05-25T04:15:06Z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eyJoZGlkIjoiNDlmMTM0ZjcyMGJlNmMxZjFkMWFmZTgwMTkxYTQ5NGYiLCJ1c2VySWQiOiI2NTI3MTk2MDkifQ==</vt:lpwstr>
  </property>
  <property fmtid="{D5CDD505-2E9C-101B-9397-08002B2CF9AE}" pid="4" name="ICV">
    <vt:lpwstr>BF224D915C7A47BBB9D24450C479D9B5_12</vt:lpwstr>
  </property>
</Properties>
</file>