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1884C">
      <w:pPr>
        <w:jc w:val="center"/>
        <w:rPr>
          <w:rFonts w:hint="eastAsia" w:ascii="宋体" w:hAnsi="宋体" w:eastAsia="宋体" w:cs="宋体"/>
          <w:b/>
          <w:bCs/>
          <w:sz w:val="28"/>
          <w:szCs w:val="28"/>
        </w:rPr>
      </w:pPr>
      <w:r>
        <w:rPr>
          <w:rFonts w:hint="eastAsia" w:ascii="宋体" w:hAnsi="宋体" w:eastAsia="宋体" w:cs="宋体"/>
          <w:b/>
          <w:bCs/>
          <w:sz w:val="28"/>
          <w:szCs w:val="28"/>
        </w:rPr>
        <w:t>摩洛哥投资建厂</w:t>
      </w:r>
    </w:p>
    <w:p w14:paraId="77614752">
      <w:pPr>
        <w:keepNext w:val="0"/>
        <w:keepLines w:val="0"/>
        <w:pageBreakBefore w:val="0"/>
        <w:widowControl/>
        <w:kinsoku/>
        <w:wordWrap/>
        <w:overflowPunct/>
        <w:topLinePunct w:val="0"/>
        <w:autoSpaceDE/>
        <w:autoSpaceDN/>
        <w:bidi w:val="0"/>
        <w:adjustRightInd/>
        <w:snapToGrid/>
        <w:spacing w:beforeAutospacing="0" w:after="157" w:afterLines="50" w:afterAutospacing="0" w:line="288" w:lineRule="auto"/>
        <w:ind w:left="-1" w:leftChars="0" w:firstLine="0" w:firstLineChars="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rPr>
        <w:t>法律指南</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下）</w:t>
      </w:r>
      <w:bookmarkStart w:id="0" w:name="_GoBack"/>
      <w:bookmarkEnd w:id="0"/>
    </w:p>
    <w:p w14:paraId="63E7C199">
      <w:pPr>
        <w:keepNext w:val="0"/>
        <w:keepLines w:val="0"/>
        <w:pageBreakBefore w:val="0"/>
        <w:widowControl/>
        <w:kinsoku/>
        <w:wordWrap/>
        <w:overflowPunct/>
        <w:topLinePunct w:val="0"/>
        <w:autoSpaceDE/>
        <w:autoSpaceDN/>
        <w:bidi w:val="0"/>
        <w:adjustRightInd/>
        <w:snapToGrid/>
        <w:spacing w:beforeAutospacing="0" w:afterAutospacing="0" w:line="288" w:lineRule="auto"/>
        <w:ind w:left="0" w:leftChars="0" w:firstLine="0" w:firstLineChars="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作者：北京海润天睿（上海）律师事务所 王肖东、郑成海</w:t>
      </w:r>
    </w:p>
    <w:p w14:paraId="6B696E0E">
      <w:pPr>
        <w:keepNext w:val="0"/>
        <w:keepLines w:val="0"/>
        <w:pageBreakBefore w:val="0"/>
        <w:widowControl/>
        <w:kinsoku/>
        <w:wordWrap/>
        <w:overflowPunct/>
        <w:topLinePunct w:val="0"/>
        <w:autoSpaceDE/>
        <w:autoSpaceDN/>
        <w:bidi w:val="0"/>
        <w:adjustRightInd/>
        <w:snapToGrid/>
        <w:spacing w:beforeAutospacing="0" w:afterAutospacing="0" w:line="288" w:lineRule="auto"/>
        <w:ind w:left="0" w:leftChars="0" w:firstLine="0" w:firstLineChars="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联系方式：18611102333、13261010181</w:t>
      </w:r>
    </w:p>
    <w:p w14:paraId="6054F3AA">
      <w:pPr>
        <w:keepNext w:val="0"/>
        <w:keepLines w:val="0"/>
        <w:pageBreakBefore w:val="0"/>
        <w:widowControl/>
        <w:kinsoku/>
        <w:wordWrap/>
        <w:overflowPunct/>
        <w:topLinePunct w:val="0"/>
        <w:autoSpaceDE/>
        <w:autoSpaceDN/>
        <w:bidi w:val="0"/>
        <w:adjustRightInd/>
        <w:snapToGrid/>
        <w:spacing w:beforeAutospacing="0" w:afterAutospacing="0" w:line="288" w:lineRule="auto"/>
        <w:ind w:left="0" w:leftChars="0" w:firstLine="0" w:firstLineChars="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文章导读</w:t>
      </w:r>
    </w:p>
    <w:p w14:paraId="6C879451">
      <w:pPr>
        <w:keepNext w:val="0"/>
        <w:keepLines w:val="0"/>
        <w:pageBreakBefore w:val="0"/>
        <w:widowControl/>
        <w:kinsoku/>
        <w:wordWrap/>
        <w:overflowPunct/>
        <w:topLinePunct w:val="0"/>
        <w:autoSpaceDE/>
        <w:autoSpaceDN/>
        <w:bidi w:val="0"/>
        <w:adjustRightInd/>
        <w:snapToGrid/>
        <w:spacing w:beforeAutospacing="0" w:afterAutospacing="0" w:line="288" w:lineRule="auto"/>
        <w:ind w:left="0" w:leftChars="0" w:firstLine="0" w:firstLineChars="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前言</w:t>
      </w:r>
    </w:p>
    <w:p w14:paraId="6F0BBE8C">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摩洛哥，位于非洲的西北角，是连接欧洲、中东和非洲的桥梁。摩洛哥凭借其战略性地理位置、稳定的政治环境、优越的市场准入条件以及针对外资投资的多种优惠政策，成为全球企业尤其是制造业和工业企业的热门投资目的地。近年来，摩洛哥政府通过实施《投资宪章》（Charte des Investissements）和其他支持性法规，大力推动工业化和外商投资，吸引了大量跨国公司在摩洛哥设厂。而设立工厂是一个复杂的过程，不仅涉及摩洛哥的公司法、税法、劳动法等法律制度，还需考虑与摩洛哥政府的合作、政策优惠的利用以及合规风险。</w:t>
      </w:r>
    </w:p>
    <w:p w14:paraId="1481BB0B">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本指南旨在详细介绍外资企业在摩洛哥投资设厂的关键法律要点，涵盖投资环境与市场准入、公司设立和法律程序、与政府签署的投资协议、土地使用、税收制度与投资激励、劳动用工、环保要求以及外汇管制等内容，以帮助企业在摩洛哥进行合规、高效的投资。</w:t>
      </w:r>
    </w:p>
    <w:p w14:paraId="2457AF87">
      <w:pPr>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文章关键词：海外投资、投资摩洛哥、税收制度、劳动用工、环境保护、外汇管制</w:t>
      </w:r>
      <w:r>
        <w:rPr>
          <w:rFonts w:hint="eastAsia" w:ascii="宋体" w:hAnsi="宋体" w:eastAsia="宋体" w:cs="宋体"/>
          <w:b w:val="0"/>
          <w:bCs w:val="0"/>
          <w:sz w:val="24"/>
          <w:szCs w:val="24"/>
          <w:lang w:eastAsia="zh-CN"/>
        </w:rPr>
        <w:t>。</w:t>
      </w:r>
    </w:p>
    <w:p w14:paraId="35A9EA94">
      <w:pPr>
        <w:keepNext w:val="0"/>
        <w:keepLines w:val="0"/>
        <w:pageBreakBefore w:val="0"/>
        <w:widowControl/>
        <w:numPr>
          <w:ilvl w:val="0"/>
          <w:numId w:val="3"/>
        </w:numPr>
        <w:kinsoku/>
        <w:wordWrap/>
        <w:overflowPunct/>
        <w:topLinePunct w:val="0"/>
        <w:autoSpaceDE/>
        <w:autoSpaceDN/>
        <w:bidi w:val="0"/>
        <w:adjustRightInd/>
        <w:snapToGrid/>
        <w:spacing w:beforeAutospacing="0" w:afterAutospacing="0" w:line="360" w:lineRule="auto"/>
        <w:ind w:left="0"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税收制度与投资激励</w:t>
      </w:r>
    </w:p>
    <w:p w14:paraId="69D97B0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摩洛哥的税收制度较为复杂，但为了吸引外资，政府提供了多种税收优惠政策和投资激励措施。了解并利用这些政策，可以大大降低外资企业的运营成本，并提升投资回报率。</w:t>
      </w:r>
    </w:p>
    <w:p w14:paraId="4F0AC97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（一）税收制度概述</w:t>
      </w:r>
    </w:p>
    <w:p w14:paraId="4562FCA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摩洛哥的税收体系主要包括企业所得税、增值税、个人所得税、土地税以及海关税。具体如下：</w:t>
      </w:r>
    </w:p>
    <w:p w14:paraId="661A4EF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1.企业所得税：摩洛哥对企业的利润征收所得税，税率根据企业的利润水平和行业性质有所不同。标准企业所得税税率为31%，但对于部分从事工业、出口、农业等行业的企业，税率可能降低至15%甚至更低。</w:t>
      </w:r>
    </w:p>
    <w:p w14:paraId="58C52BC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2.增值税：摩洛哥的增值税标准税率为20%，但对于部分商品和服务，税率为7%或10%或14%。工业设备、初级材料等可以享受免税或降低税率的政策。</w:t>
      </w:r>
    </w:p>
    <w:p w14:paraId="7503D45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3.个人所得税：对个人收入征收，税率从10%到38%不等。企业需为员工代扣代缴个人所得税。</w:t>
      </w:r>
    </w:p>
    <w:p w14:paraId="7937E1C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4.土地税与不动产税：外资企业在摩洛哥购置或租用土地需缴纳土地税；同时，对企业持有的不动产每年还需缴纳不动产税。</w:t>
      </w:r>
    </w:p>
    <w:p w14:paraId="5713C59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5.关税与进口税：摩洛哥对于进口货物征收关税，税率根据货物种类而定，通常在2.5%-25%之间。但企业在进口生产设备、原材料等时，可能享受免税或减税政策。</w:t>
      </w:r>
    </w:p>
    <w:p w14:paraId="2BD496F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6.预提税：预提税适用于向非居民支付的以下几类收入：</w:t>
      </w:r>
    </w:p>
    <w:p w14:paraId="17A0A5F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（1）股息：支付给非居民股东的股息通常适用15%的预提税税率；</w:t>
      </w:r>
    </w:p>
    <w:p w14:paraId="63276DF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（2）利息：向非居民支付的贷款利息一般适用10%的预提税；</w:t>
      </w:r>
    </w:p>
    <w:p w14:paraId="23E1567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（3）特许权使用费：包括专利、商标、版权等知识产权使用费的支付，适用10%的预提税税率；</w:t>
      </w:r>
    </w:p>
    <w:p w14:paraId="1EC4CBA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（4）技术服务费：对于技术服务或咨询服务，支付给非居民的款项通常适用10%的预提税。</w:t>
      </w:r>
    </w:p>
    <w:p w14:paraId="14B268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需明确的是，中国与摩洛哥于2007年签署的《中华人民共和国政府和摩洛哥王国政府关于对所得避免双重征税和防止偷漏税的协定》为中资企业跨境投资、利润分配和技术转让提供了显著的税收优惠。具体而言：</w:t>
      </w:r>
    </w:p>
    <w:p w14:paraId="44A33FD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（1）股息的预提税税率可降至5%或10%。</w:t>
      </w:r>
    </w:p>
    <w:p w14:paraId="46E96F4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（2）利息和特许权使用费的预提税税率为10%。</w:t>
      </w:r>
    </w:p>
    <w:p w14:paraId="53BB2B6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这些税率在中摩两国之间营造了更具吸引力的投资环境，减少了双重征税负担，促进了中摩两国企业的双边合作。</w:t>
      </w:r>
    </w:p>
    <w:p w14:paraId="2FB4637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（二）税收优惠政策</w:t>
      </w:r>
    </w:p>
    <w:p w14:paraId="12CD8F2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摩洛哥政府为了吸引外资特别是工业领域的投资，提供了多种税收优惠政策和投资激励措施，具体包括：</w:t>
      </w:r>
      <w:r>
        <w:rPr>
          <w:rFonts w:hint="eastAsia" w:ascii="宋体" w:hAnsi="宋体" w:eastAsia="宋体" w:cs="宋体"/>
          <w:b w:val="0"/>
          <w:bCs w:val="0"/>
          <w:sz w:val="24"/>
          <w:szCs w:val="24"/>
          <w:lang w:eastAsia="zh-CN"/>
        </w:rPr>
        <w:drawing>
          <wp:anchor distT="0" distB="0" distL="114300" distR="114300" simplePos="0" relativeHeight="251659264" behindDoc="0" locked="0" layoutInCell="1" allowOverlap="1">
            <wp:simplePos x="0" y="0"/>
            <wp:positionH relativeFrom="column">
              <wp:posOffset>1676400</wp:posOffset>
            </wp:positionH>
            <wp:positionV relativeFrom="paragraph">
              <wp:posOffset>-6737985</wp:posOffset>
            </wp:positionV>
            <wp:extent cx="2208530" cy="2326640"/>
            <wp:effectExtent l="0" t="0" r="1270" b="10160"/>
            <wp:wrapTopAndBottom/>
            <wp:docPr id="1" name="图片 1" descr="bb508b00e113ff2b03b0fe314f783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b508b00e113ff2b03b0fe314f783ffe"/>
                    <pic:cNvPicPr>
                      <a:picLocks noChangeAspect="1"/>
                    </pic:cNvPicPr>
                  </pic:nvPicPr>
                  <pic:blipFill>
                    <a:blip r:embed="rId4"/>
                    <a:stretch>
                      <a:fillRect/>
                    </a:stretch>
                  </pic:blipFill>
                  <pic:spPr>
                    <a:xfrm>
                      <a:off x="0" y="0"/>
                      <a:ext cx="2208530" cy="2326640"/>
                    </a:xfrm>
                    <a:prstGeom prst="rect">
                      <a:avLst/>
                    </a:prstGeom>
                  </pic:spPr>
                </pic:pic>
              </a:graphicData>
            </a:graphic>
          </wp:anchor>
        </w:drawing>
      </w:r>
    </w:p>
    <w:p w14:paraId="73353FE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1.企业所得税减免：对于出口导向型企业，前五年可以享受100%的企业所得税免税优惠。对于非出口企业，首五年可享受部分税率的减免。此外，对于位于摩洛哥特定经济区或工业区的企业，税率可能更低。</w:t>
      </w:r>
    </w:p>
    <w:p w14:paraId="32F6DF4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2.增值税优惠：摩洛哥政府对投资类项目（例如工厂建设）购买的设备、机器等工业物品给予增值税免税。外资企业在项目初期可以通过申请免除设备购置中的增值税，以降低初期投资成本。</w:t>
      </w:r>
    </w:p>
    <w:p w14:paraId="2FA6CC3D">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3.免除关税和进口税：为鼓励工业设备进口，摩洛哥允许部分设备、材料和零部件免除关税和进口税。这些优惠政策有助于外资企业降低生产成本，提升投资吸引力。</w:t>
      </w:r>
    </w:p>
    <w:p w14:paraId="1A54031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4.土地使用与投资激励：摩洛哥政府对外资企业设立的工厂提供优惠的土地使用政策，包括长期租赁、优惠地价以及基础设施支持。部分地区的工业区还可以享受更多的税收减免和政府补贴。</w:t>
      </w:r>
    </w:p>
    <w:p w14:paraId="69BCE60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5.特定地区的税收优惠：摩洛哥设立了多个经济特区和自由贸易区，在这些区域内设厂的外资企业可以享受多种税收优惠。例如，丹吉尔自由贸易区的企业可以享受企业所得税和增值税的全面豁免。</w:t>
      </w:r>
    </w:p>
    <w:p w14:paraId="72DA6A8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（三）投资激励政策摩洛哥政府还提供了一系列直接的投资激励措施，帮助外资企业降低投资风险，增加项目吸引力：</w:t>
      </w:r>
    </w:p>
    <w:p w14:paraId="6E3678F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1.政府补贴：根据企业的投资规模和行业类别，摩洛哥政府可能提供资金补贴。例如，在劳动力密集型企业或高科技产业中，政府可能直接补贴部分投资费用，特别是涉及设备购置、员工培训或研发投入的项目。</w:t>
      </w:r>
    </w:p>
    <w:p w14:paraId="7577A28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2.贷款便利：摩洛哥与多边开发银行和金融机构保持合作，外资企业可以通过这些渠道获得低息贷款，用于工厂建设、设备采购或运营资本。</w:t>
      </w:r>
    </w:p>
    <w:p w14:paraId="6565AB8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3.基础设施支持：摩洛哥政府对大型工业项目提供基础设施建设支持，包括电力、供水、交通网络等，帮助企业降低基础设施建设成本。</w:t>
      </w:r>
    </w:p>
    <w:p w14:paraId="734051F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4.税收优惠政策和投资激励措施：外资企业应根据自身的投资行业、规模和地区，充分利用摩洛哥的税收优惠政策和投资激励措施。这不仅能够显著降低投资成本，还能提升项目的长期可持续性和盈利能力。企业在设厂初期应当与当地税务局、投资发展局以及专业法律顾问紧密合作，确保最大限度地享受摩洛哥政府的各类优惠政策。</w:t>
      </w:r>
    </w:p>
    <w:p w14:paraId="166EC84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二、用工与劳资关系</w:t>
      </w:r>
    </w:p>
    <w:p w14:paraId="053DFE2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摩洛哥的劳动法律体系相对完善，外资企业在设立工厂时需确保遵守摩洛哥的劳动法。摩洛哥劳动法对雇员的雇佣、解雇、工作时间、工资标准以及社会保障等方面都有详细规定，企业需特别关注与工人之间的劳动关系，并确保在合规的基础上进行用工管理。</w:t>
      </w:r>
    </w:p>
    <w:p w14:paraId="21DDFBE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drawing>
          <wp:inline distT="0" distB="0" distL="114300" distR="114300">
            <wp:extent cx="4191000" cy="1682750"/>
            <wp:effectExtent l="0" t="0" r="0" b="6350"/>
            <wp:docPr id="2" name="图片 2" descr="8ab0a760d2dc7b9a63a087531a8fd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ab0a760d2dc7b9a63a087531a8fd415"/>
                    <pic:cNvPicPr>
                      <a:picLocks noChangeAspect="1"/>
                    </pic:cNvPicPr>
                  </pic:nvPicPr>
                  <pic:blipFill>
                    <a:blip r:embed="rId5"/>
                    <a:stretch>
                      <a:fillRect/>
                    </a:stretch>
                  </pic:blipFill>
                  <pic:spPr>
                    <a:xfrm>
                      <a:off x="0" y="0"/>
                      <a:ext cx="4191000" cy="1682750"/>
                    </a:xfrm>
                    <a:prstGeom prst="rect">
                      <a:avLst/>
                    </a:prstGeom>
                  </pic:spPr>
                </pic:pic>
              </a:graphicData>
            </a:graphic>
          </wp:inline>
        </w:drawing>
      </w:r>
    </w:p>
    <w:p w14:paraId="3BE69BC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一）雇佣合同摩洛哥劳动法规定，企业与员工之间需签订正式的雇佣合同，合同可为固定期限合同（CDD）或无固定期限合同（CDI）。合同中应明确规定工作职责、薪资待遇、工作时长和社会保障等内容。企业雇佣本地员工时应遵循劳动合同的标准格式，合同条款不得违反摩洛哥的劳动法律法规。</w:t>
      </w:r>
    </w:p>
    <w:p w14:paraId="35C42DD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二）最低工资标准摩洛哥设有全国统一的最低工资标准（SMIG），外资企业在招聘工人时需确保支付不低于该标准的工资。目前摩洛哥的最低工资标准为每月约3000摩洛哥迪拉姆（约合300欧元），但具体金额会根据不同行业和地区有所不同。企业应定期关注摩洛哥政府对最低工资标准的调整，确保薪酬水平符合法律规定。</w:t>
      </w:r>
    </w:p>
    <w:p w14:paraId="78F4888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三）工作时间与加班费摩洛哥劳动法规定，工人的每周工作时间不得超过44小时，超出部分需按加班处理，并支付加班费。对于夜间、假日以及周末的加班，企业需按照法律规定支付相应比例的加班费。企业应制定合理的工时安排，避免超时工作，并确保在发生加班时依法支付补偿。</w:t>
      </w:r>
    </w:p>
    <w:p w14:paraId="7B2083D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四）社会保障与保险摩洛哥对工人的社会保障体系较为健全，外资企业有义务为员工缴纳社会保障基金，涵盖医疗、养老、工伤等多项保险内容。企业还需为工人提供职业健康和安全保障，定期进行工作环境的检查和维护，确保工人安全生产。</w:t>
      </w:r>
    </w:p>
    <w:p w14:paraId="59710C3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企业在摩洛哥设立工厂时，应从一开始就建立完善的劳动管理制度，确保与工人之间的劳动合同合法合规，避免后续的劳资纠纷。</w:t>
      </w:r>
    </w:p>
    <w:p w14:paraId="5B81970B">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p>
    <w:p w14:paraId="3EE8EFA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三、</w:t>
      </w:r>
      <w:r>
        <w:rPr>
          <w:rFonts w:hint="eastAsia" w:ascii="宋体" w:hAnsi="宋体" w:eastAsia="宋体" w:cs="宋体"/>
          <w:b w:val="0"/>
          <w:bCs w:val="0"/>
          <w:sz w:val="24"/>
          <w:szCs w:val="24"/>
          <w:lang w:eastAsia="zh-CN"/>
        </w:rPr>
        <w:t>环境与可持续发展合规</w:t>
      </w:r>
    </w:p>
    <w:p w14:paraId="5312AC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ascii="宋体" w:hAnsi="宋体" w:eastAsia="宋体" w:cs="宋体"/>
          <w:kern w:val="0"/>
          <w:sz w:val="24"/>
          <w:szCs w:val="24"/>
          <w:lang w:val="en-US" w:eastAsia="zh-CN" w:bidi="ar"/>
        </w:rPr>
        <w:t>摩洛哥在推动工业发展的同时，对环保的要求也日益严格。企业设厂时需特别关注环保法规，并在投资过程中执行环境影响评估，确保符合《摩洛哥环境法》的要求：</w:t>
      </w:r>
    </w:p>
    <w:p w14:paraId="5AC8D83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drawing>
          <wp:inline distT="0" distB="0" distL="114300" distR="114300">
            <wp:extent cx="4679950" cy="1377950"/>
            <wp:effectExtent l="0" t="0" r="6350" b="6350"/>
            <wp:docPr id="3" name="图片 3" descr="432d2ae6846b5cf2139ad922fbfd4e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32d2ae6846b5cf2139ad922fbfd4e8d"/>
                    <pic:cNvPicPr>
                      <a:picLocks noChangeAspect="1"/>
                    </pic:cNvPicPr>
                  </pic:nvPicPr>
                  <pic:blipFill>
                    <a:blip r:embed="rId6"/>
                    <a:stretch>
                      <a:fillRect/>
                    </a:stretch>
                  </pic:blipFill>
                  <pic:spPr>
                    <a:xfrm>
                      <a:off x="0" y="0"/>
                      <a:ext cx="4679950" cy="1377950"/>
                    </a:xfrm>
                    <a:prstGeom prst="rect">
                      <a:avLst/>
                    </a:prstGeom>
                  </pic:spPr>
                </pic:pic>
              </a:graphicData>
            </a:graphic>
          </wp:inline>
        </w:drawing>
      </w:r>
    </w:p>
    <w:p w14:paraId="61068CF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一）污染排放：企业需控制废气、废水和固体废弃物的排放，确保达到环保标准，以避免对周边环境的污染。摩洛哥的环保机构对工厂的污染排放有定期的检查，企业需按要求提交环境合规报告，并且可能需要支付环保费或进行环保项目的补偿。企业应从一开始就建立有效的环保管理体系，确保工厂运营符合国家及国际标准。</w:t>
      </w:r>
    </w:p>
    <w:p w14:paraId="62A8798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二）节能减排：摩洛哥政府对节能减排项目给予鼓励，尤其是在可再生能源领域，企业可以通过建设光伏、风电等项目降低能源消耗，并获得政府的补贴和优惠政策。在厂房建设和设备选型时，企业应优先选择节能型设备，以长期降低运营成本。</w:t>
      </w:r>
    </w:p>
    <w:p w14:paraId="7DF9B60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三）环境影响评估：根据摩洛哥法律规定，大型工业项目在建设前需进行环境影响评估，确保项目不会对生态系统产生严重负面影响。环境影响评估报告需提交给摩洛哥相关环保部门进行审批，审批通过后才能开始项目建设。</w:t>
      </w:r>
    </w:p>
    <w:p w14:paraId="3DEF1047">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四、外汇管制与资金流动</w:t>
      </w:r>
    </w:p>
    <w:p w14:paraId="1057FB9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摩洛哥的外汇管制相对严格，特别是在外资企业的利润汇回及跨境资金流动方面。企业在摩洛哥的经营过程中，应特别注意资金的合规流动，并提前了解外汇局的相关规定，以免在利润分配或资金汇出时遇到困难。</w:t>
      </w:r>
    </w:p>
    <w:p w14:paraId="1A247EA5">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一）利润汇回摩洛哥允许外资企业在符合规定的前提下将合法利润汇回母公司所在国。根据摩洛哥外汇局的规定，企业需提供完整的财务报告和纳税证明，确保所有税费已经支付，才能申请利润汇回。外资企业应在项目初期建立完善的财务和税务制度，确保利润分配和汇回程序合规，并提前与当地银行和外汇局沟通，确保资金流动顺利进行。</w:t>
      </w:r>
    </w:p>
    <w:p w14:paraId="35D3262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二）外汇交易与账户管理摩洛哥允许外资企业开立外汇账户，用于处理国际交易。企业在进口设备、支付海外供应商或进行其他跨境业务时，可以合法进行外汇交易。然而，所有外汇交易需按照摩洛哥外汇局的规定进行报告和登记，企业应保持详细的资金使用记录，并定期提交报告。</w:t>
      </w:r>
    </w:p>
    <w:p w14:paraId="733034F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1.资金汇出限制：摩洛哥对资金的汇出有一定限制，特别是在资本流出方面。企业在申请汇出资本或股东贷款时，可能需获得外汇局的特别批准。企业应确保在设立初期与当地银行建立良好的合作关系，提前规划资金的跨境流动，避免在项目运营中断时遇到资金调度困难。</w:t>
      </w:r>
    </w:p>
    <w:p w14:paraId="467A3DD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资本投资的外汇保障：摩洛哥政府通过多边和双边投资协定保障外资企业的资本投资和利润汇回自由。企业可以与摩洛哥政府签署投资协议，通过该协议明确投资金额、利润汇回、税收优惠等具体条款，从而在未来资金汇回时享受更为宽松的外汇政策。外资企业应在投资初期建立完善的资金管理制度，确保所有外汇交易和利润汇回行为合法合规，并定期与当地银行和外汇局进行沟通，以减少资金流动的障碍。</w:t>
      </w:r>
    </w:p>
    <w:p w14:paraId="4885587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五、知识产权保护</w:t>
      </w:r>
    </w:p>
    <w:p w14:paraId="29949A2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摩洛哥是《巴黎公约》和《伯尔尼公约》等国际知识产权协议的成员国，对于专利、商标、著作权等知识产权提供国际标准的法律保护。外资企业在摩洛哥设立工厂时，需特别注意知识产权保护，以防止技术外泄或商标侵权。</w:t>
      </w:r>
    </w:p>
    <w:p w14:paraId="0945E90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（一）专利：外资企业在摩洛哥生产和销售产品时，如果涉及专利技术，需在摩洛哥进行专利注册，以获得法律保护。企业可以通过摩洛哥工业产权局（Office Marocain de la Propriété Industrielle et Commerciale, OMPIC）提交专利申请，专利的保护期限一般为20年。</w:t>
      </w:r>
    </w:p>
    <w:p w14:paraId="2BA8B04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（二）商标：商标的注册同样需要通过摩洛哥工业产权局进行，注册后的商标在摩洛哥境内受法律保护，防止他人未经许可使用相同或类似的商标。商标注册后有效期为10年，到期后可以续展。</w:t>
      </w:r>
    </w:p>
    <w:p w14:paraId="70ED267E">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（三）著作权：摩洛哥著作权保护法适用于文学、艺术和科学作品的原创者，保护期限为作者去世后50年。外资企业如果涉及软件开发、设计等原创性工作，需确保著作权的归属清晰，并做好防侵权的法律准备。</w:t>
      </w:r>
    </w:p>
    <w:p w14:paraId="1238E8C1">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企业应在投资初期就进行知识产权的注册和保护工作，避免在后续的生产和运营过程中出现知识产权纠纷。同时，企业应签订严格的保密协议与员工管理制度，以防止技术外泄和内部侵权问题。</w:t>
      </w:r>
    </w:p>
    <w:p w14:paraId="33F12B33">
      <w:pPr>
        <w:keepNext w:val="0"/>
        <w:keepLines w:val="0"/>
        <w:pageBreakBefore w:val="0"/>
        <w:widowControl/>
        <w:numPr>
          <w:ilvl w:val="0"/>
          <w:numId w:val="4"/>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争议解决与法律救济</w:t>
      </w:r>
    </w:p>
    <w:p w14:paraId="25FF7582">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外资企业在摩洛哥投资设厂过程中，可能会遇到各类商业纠纷，如合同争议、土地纠纷、劳资纠纷等。摩洛哥的法律体系以民法为基础，企业在处理纠纷时可以通过摩洛哥法院或仲裁机构进行解决。</w:t>
      </w:r>
    </w:p>
    <w:p w14:paraId="4067624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（一）法院诉讼：摩洛哥的法院体系相对健全，外资企业可以通过普通法院提起诉讼。摩洛哥法院受理外商投资案件，但审理过程可能较长，企业需准备详细的证据和文件以支持其诉讼请求。</w:t>
      </w:r>
    </w:p>
    <w:p w14:paraId="53896614">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（二）仲裁解决：为提高争议解决的效率，摩洛哥鼓励企业通过仲裁解决商业争端。企业可以在合同中加入仲裁条款，指定摩洛哥仲裁和调解中心（CAMC）或其他国际仲裁机构（如国际商会仲裁院 ICC）进行仲裁。仲裁的优点在于其相对较快且保密的程序，有助于双方尽快达成和解。</w:t>
      </w:r>
    </w:p>
    <w:p w14:paraId="2311D636">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企业应在签订合同时明确争议解决条款，选择适当的仲裁或诉讼管辖地，确保遇到纠纷时能够快速获得法律救济。同时，外资企业应在摩洛哥聘请专业的法律团队，以便在争议发生时获得及时的法律支持。</w:t>
      </w:r>
    </w:p>
    <w:p w14:paraId="65483F3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小结</w:t>
      </w:r>
    </w:p>
    <w:p w14:paraId="75508619">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在摩洛哥投资设厂既充满机遇，也面临一定的法律和运营风险。外资企业在投资之前，应充分了解摩洛哥的法律环境，并与当地政府保持良好的合作关系。通过与政府签署投资协议，企业可以获得更多的政策优惠和保障，从而确保投资项目的成功。</w:t>
      </w:r>
    </w:p>
    <w:p w14:paraId="4AA459B0">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60" w:lineRule="auto"/>
        <w:ind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本指南旨在为投资者提供详细的法律指引，帮助其顺利完成设厂过程并规避潜在风险。然而，鉴于摩洛哥法律体系的复杂性以及投资项目的独特性，建议投资者在具体操作过程中咨询专业律师，以确保投资合法合规并获得最大化的回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DC0863"/>
    <w:multiLevelType w:val="singleLevel"/>
    <w:tmpl w:val="D0DC0863"/>
    <w:lvl w:ilvl="0" w:tentative="0">
      <w:start w:val="1"/>
      <w:numFmt w:val="chineseCounting"/>
      <w:suff w:val="nothing"/>
      <w:lvlText w:val="%1、"/>
      <w:lvlJc w:val="left"/>
      <w:rPr>
        <w:rFonts w:hint="eastAsia"/>
      </w:rPr>
    </w:lvl>
  </w:abstractNum>
  <w:abstractNum w:abstractNumId="1">
    <w:nsid w:val="F41BEFAA"/>
    <w:multiLevelType w:val="singleLevel"/>
    <w:tmpl w:val="F41BEFAA"/>
    <w:lvl w:ilvl="0" w:tentative="0">
      <w:start w:val="1"/>
      <w:numFmt w:val="chineseCounting"/>
      <w:pStyle w:val="2"/>
      <w:suff w:val="nothing"/>
      <w:lvlText w:val="%1、"/>
      <w:lvlJc w:val="left"/>
      <w:pPr>
        <w:ind w:left="0" w:firstLine="420"/>
      </w:pPr>
      <w:rPr>
        <w:rFonts w:hint="eastAsia"/>
      </w:rPr>
    </w:lvl>
  </w:abstractNum>
  <w:abstractNum w:abstractNumId="2">
    <w:nsid w:val="4A80CC7D"/>
    <w:multiLevelType w:val="singleLevel"/>
    <w:tmpl w:val="4A80CC7D"/>
    <w:lvl w:ilvl="0" w:tentative="0">
      <w:start w:val="6"/>
      <w:numFmt w:val="chineseCounting"/>
      <w:suff w:val="nothing"/>
      <w:lvlText w:val="%1、"/>
      <w:lvlJc w:val="left"/>
      <w:rPr>
        <w:rFonts w:hint="eastAsia"/>
      </w:rPr>
    </w:lvl>
  </w:abstractNum>
  <w:abstractNum w:abstractNumId="3">
    <w:nsid w:val="762C53F0"/>
    <w:multiLevelType w:val="singleLevel"/>
    <w:tmpl w:val="762C53F0"/>
    <w:lvl w:ilvl="0" w:tentative="0">
      <w:start w:val="1"/>
      <w:numFmt w:val="decimal"/>
      <w:pStyle w:val="3"/>
      <w:suff w:val="nothing"/>
      <w:lvlText w:val="%1．"/>
      <w:lvlJc w:val="left"/>
      <w:pPr>
        <w:ind w:left="0" w:firstLine="4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5C5343"/>
    <w:rsid w:val="08271CC9"/>
    <w:rsid w:val="09ED75AE"/>
    <w:rsid w:val="2C5C5343"/>
    <w:rsid w:val="41283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numPr>
        <w:ilvl w:val="0"/>
        <w:numId w:val="1"/>
      </w:numPr>
      <w:kinsoku w:val="0"/>
      <w:overflowPunct w:val="0"/>
      <w:spacing w:before="100" w:beforeLines="0" w:beforeAutospacing="0" w:after="120" w:afterLines="0" w:afterAutospacing="0" w:line="360" w:lineRule="auto"/>
      <w:jc w:val="left"/>
      <w:outlineLvl w:val="0"/>
    </w:pPr>
    <w:rPr>
      <w:rFonts w:asciiTheme="minorAscii" w:hAnsiTheme="minorAscii"/>
      <w:b/>
      <w:kern w:val="44"/>
      <w:sz w:val="28"/>
    </w:rPr>
  </w:style>
  <w:style w:type="paragraph" w:styleId="3">
    <w:name w:val="heading 3"/>
    <w:basedOn w:val="1"/>
    <w:next w:val="1"/>
    <w:semiHidden/>
    <w:unhideWhenUsed/>
    <w:qFormat/>
    <w:uiPriority w:val="0"/>
    <w:pPr>
      <w:keepNext/>
      <w:keepLines/>
      <w:numPr>
        <w:ilvl w:val="0"/>
        <w:numId w:val="2"/>
      </w:numPr>
      <w:kinsoku w:val="0"/>
      <w:spacing w:beforeLines="0" w:beforeAutospacing="0" w:afterLines="0" w:afterAutospacing="0" w:line="360" w:lineRule="auto"/>
      <w:jc w:val="left"/>
      <w:outlineLvl w:val="2"/>
    </w:pPr>
    <w:rPr>
      <w:rFonts w:eastAsia="仿宋" w:asciiTheme="minorAscii" w:hAnsiTheme="minorAscii"/>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5006</Words>
  <Characters>5175</Characters>
  <Lines>0</Lines>
  <Paragraphs>0</Paragraphs>
  <TotalTime>7</TotalTime>
  <ScaleCrop>false</ScaleCrop>
  <LinksUpToDate>false</LinksUpToDate>
  <CharactersWithSpaces>5187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2026-06-05T06:18:00Z</dcterms:created>
  <dc:creator>小潜</dc:creator>
  <cp:lastModifiedBy>小潜</cp:lastModifiedBy>
  <dcterms:modified xsi:type="dcterms:W3CDTF">2026-06-05T06:33:41Z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FB8C4E229B14455CA2DD11DF65F5D14C_11</vt:lpwstr>
  </property>
  <property fmtid="{D5CDD505-2E9C-101B-9397-08002B2CF9AE}" pid="4" name="KSOTemplateDocerSaveRecord">
    <vt:lpwstr>eyJoZGlkIjoiMzEwNTM5NzYwMDRjMzkwZTVkZjY2ODkwMGIxNGU0OTUiLCJ1c2VySWQiOiIyNTA1OTg3NjUifQ==</vt:lpwstr>
  </property>
  <property fmtid="{D5CDD505-2E9C-101B-9397-08002B2CF9AE}" pid="5" name="CWMc3193060810a11f1800041aa000041aa">
    <vt:lpwstr>CWMezP01KGIjBvyoDnIP84HIeF3g/9M1CX/6MdoiIpd2gh6qxywt+XB5d8K3LBTu8X48EpY+6Y3Qt+UgBsZngSbyw==</vt:lpwstr>
  </property>
  <property fmtid="{D5CDD505-2E9C-101B-9397-08002B2CF9AE}" pid="6" name="fileWhereFroms">
    <vt:lpwstr>PpjeLB1gRN0lwrPqMaCTktw1QrJJKnD3t3hzFHbkSOeZkJvUKbOn5wEK7u6LzonF08gdphIo0ygNyViV5C0LTlNzRxPAMG5xPZu7uC7bv0uL1Kex5PfDuKQOg5o6epURLaTi0LjsmSIJaFWi9SmBj4BXPt/KUhOY4m5mv1+wFS/WQT5dAwbNsvvFcRmZ1+E9bxVCuTHedtfAlWHpHh6zsU/7YyfdpTFxzKfC6fats9RhmuYDr5NH8EL5iEjk0A8DdeNKsIMgyuefMBeA+jyqHg==</vt:lpwstr>
  </property>
</Properties>
</file>