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20" w:lineRule="atLeast"/>
        <w:jc w:val="center"/>
        <w:rPr>
          <w:rFonts w:ascii="Times New Roman" w:hAnsi="Times New Roman" w:eastAsia="仿宋" w:cs="Times New Roman"/>
          <w:b/>
          <w:sz w:val="28"/>
          <w:szCs w:val="28"/>
        </w:rPr>
      </w:pPr>
      <w:r>
        <w:rPr>
          <w:rFonts w:ascii="Times New Roman" w:hAnsi="Times New Roman" w:eastAsia="仿宋" w:cs="Times New Roman"/>
          <w:b/>
          <w:sz w:val="28"/>
          <w:szCs w:val="28"/>
        </w:rPr>
        <w:t>涉华国际投资保护协定及国际争议案件法律解析系列之二十一：</w:t>
      </w:r>
    </w:p>
    <w:p>
      <w:pPr>
        <w:spacing w:line="420" w:lineRule="atLeast"/>
        <w:jc w:val="center"/>
        <w:rPr>
          <w:rFonts w:ascii="Times New Roman" w:hAnsi="Times New Roman" w:eastAsia="仿宋" w:cs="Times New Roman"/>
          <w:b/>
          <w:sz w:val="28"/>
          <w:szCs w:val="28"/>
        </w:rPr>
      </w:pPr>
      <w:r>
        <w:rPr>
          <w:rFonts w:ascii="Times New Roman" w:hAnsi="Times New Roman" w:eastAsia="仿宋" w:cs="Times New Roman"/>
          <w:b/>
          <w:sz w:val="28"/>
          <w:szCs w:val="28"/>
        </w:rPr>
        <w:t>中国与蒙古国的双边投资保护协定</w:t>
      </w:r>
    </w:p>
    <w:p>
      <w:pPr>
        <w:spacing w:line="420" w:lineRule="atLeast"/>
        <w:jc w:val="center"/>
        <w:rPr>
          <w:rFonts w:ascii="Times New Roman" w:hAnsi="Times New Roman" w:eastAsia="仿宋" w:cs="Times New Roman"/>
          <w:b/>
          <w:sz w:val="28"/>
          <w:szCs w:val="28"/>
        </w:rPr>
      </w:pPr>
      <w:r>
        <w:rPr>
          <w:rFonts w:ascii="Times New Roman" w:hAnsi="Times New Roman" w:eastAsia="仿宋" w:cs="Times New Roman"/>
          <w:b/>
          <w:sz w:val="28"/>
          <w:szCs w:val="28"/>
        </w:rPr>
        <w:t>及相关国际投资仲裁案件</w:t>
      </w:r>
      <w:bookmarkStart w:id="20" w:name="_GoBack"/>
      <w:bookmarkEnd w:id="20"/>
    </w:p>
    <w:p>
      <w:pPr>
        <w:spacing w:line="420" w:lineRule="atLeast"/>
        <w:jc w:val="center"/>
        <w:rPr>
          <w:rFonts w:ascii="Times New Roman" w:hAnsi="Times New Roman" w:eastAsia="仿宋" w:cs="Times New Roman"/>
          <w:b/>
          <w:sz w:val="30"/>
          <w:szCs w:val="30"/>
        </w:rPr>
      </w:pPr>
    </w:p>
    <w:p>
      <w:pPr>
        <w:spacing w:line="420" w:lineRule="atLeast"/>
        <w:jc w:val="center"/>
        <w:rPr>
          <w:rFonts w:ascii="Times New Roman" w:hAnsi="Times New Roman" w:eastAsia="仿宋" w:cs="Times New Roman"/>
          <w:b/>
          <w:sz w:val="30"/>
          <w:szCs w:val="30"/>
        </w:rPr>
      </w:pPr>
    </w:p>
    <w:p>
      <w:pPr>
        <w:spacing w:line="360" w:lineRule="auto"/>
        <w:rPr>
          <w:rFonts w:ascii="Times New Roman" w:hAnsi="Times New Roman" w:eastAsia="仿宋" w:cs="Times New Roman"/>
          <w:b/>
          <w:sz w:val="24"/>
          <w:szCs w:val="24"/>
        </w:rPr>
      </w:pPr>
      <w:r>
        <w:rPr>
          <w:rFonts w:ascii="Times New Roman" w:hAnsi="Times New Roman" w:eastAsia="仿宋" w:cs="Times New Roman"/>
          <w:b/>
          <w:sz w:val="24"/>
          <w:szCs w:val="24"/>
        </w:rPr>
        <w:t>作者简介：</w:t>
      </w:r>
    </w:p>
    <w:p>
      <w:pPr>
        <w:spacing w:line="360" w:lineRule="auto"/>
        <w:rPr>
          <w:rFonts w:ascii="Times New Roman" w:hAnsi="Times New Roman" w:eastAsia="仿宋" w:cs="Times New Roman"/>
          <w:sz w:val="24"/>
          <w:szCs w:val="24"/>
        </w:rPr>
      </w:pPr>
      <w:r>
        <w:rPr>
          <w:rFonts w:ascii="Times New Roman" w:hAnsi="Times New Roman" w:eastAsia="仿宋" w:cs="Times New Roman"/>
          <w:b/>
          <w:sz w:val="24"/>
          <w:szCs w:val="24"/>
        </w:rPr>
        <w:t>陈军</w:t>
      </w:r>
      <w:r>
        <w:rPr>
          <w:rFonts w:ascii="Times New Roman" w:hAnsi="Times New Roman" w:eastAsia="仿宋" w:cs="Times New Roman"/>
          <w:sz w:val="24"/>
          <w:szCs w:val="24"/>
        </w:rPr>
        <w:t xml:space="preserve">  上海市建纬律师事务所国际业务部主任、高级合伙人，国际公法、国际商法双法学硕士</w:t>
      </w:r>
      <w:r>
        <w:rPr>
          <w:rFonts w:hint="eastAsia" w:ascii="Times New Roman" w:hAnsi="Times New Roman" w:eastAsia="仿宋" w:cs="Times New Roman"/>
          <w:sz w:val="24"/>
          <w:szCs w:val="24"/>
        </w:rPr>
        <w:t>，英国皇家建造师协会会员。</w:t>
      </w:r>
      <w:r>
        <w:rPr>
          <w:rFonts w:ascii="Times New Roman" w:hAnsi="Times New Roman" w:eastAsia="仿宋" w:cs="Times New Roman"/>
          <w:sz w:val="24"/>
          <w:szCs w:val="24"/>
        </w:rPr>
        <w:t>陈军律师擅长跨境项目的投融资，从协助多家境内企业海外上市开始、到作为主办律师负责数十个跨国企业和境外机构在中国境内的收并购项目以及收购后的内部重组和构架调整、再到协助并策划境内央企、大型民营企业海外收并购、项目合作、海外融资。陈军律师主办、参与的案件涉及东盟、中东、欧美、非洲和拉美等</w:t>
      </w:r>
      <w:r>
        <w:rPr>
          <w:rFonts w:ascii="Times New Roman" w:hAnsi="Times New Roman" w:eastAsia="仿宋" w:cs="Times New Roman"/>
          <w:sz w:val="24"/>
          <w:szCs w:val="24"/>
          <w:highlight w:val="none"/>
        </w:rPr>
        <w:t>超过30多</w:t>
      </w:r>
      <w:r>
        <w:rPr>
          <w:rFonts w:ascii="Times New Roman" w:hAnsi="Times New Roman" w:eastAsia="仿宋" w:cs="Times New Roman"/>
          <w:sz w:val="24"/>
          <w:szCs w:val="24"/>
        </w:rPr>
        <w:t>个国家和地区。陈军律师担任“一带一路”（中国）仲裁院</w:t>
      </w:r>
      <w:r>
        <w:rPr>
          <w:rFonts w:hint="eastAsia" w:ascii="Times New Roman" w:hAnsi="Times New Roman" w:eastAsia="仿宋" w:cs="Times New Roman"/>
          <w:sz w:val="24"/>
          <w:szCs w:val="24"/>
        </w:rPr>
        <w:t>和</w:t>
      </w:r>
      <w:r>
        <w:rPr>
          <w:rFonts w:ascii="Times New Roman" w:hAnsi="Times New Roman" w:eastAsia="仿宋" w:cs="Times New Roman"/>
          <w:sz w:val="24"/>
          <w:szCs w:val="24"/>
        </w:rPr>
        <w:t>赣江新区国际仲裁院</w:t>
      </w:r>
      <w:r>
        <w:rPr>
          <w:rFonts w:hint="eastAsia" w:ascii="Times New Roman" w:hAnsi="Times New Roman" w:eastAsia="仿宋" w:cs="Times New Roman"/>
          <w:sz w:val="24"/>
          <w:szCs w:val="24"/>
        </w:rPr>
        <w:t>的</w:t>
      </w:r>
      <w:r>
        <w:rPr>
          <w:rFonts w:ascii="Times New Roman" w:hAnsi="Times New Roman" w:eastAsia="仿宋" w:cs="Times New Roman"/>
          <w:sz w:val="24"/>
          <w:szCs w:val="24"/>
        </w:rPr>
        <w:t>仲裁员，并作为中国区测评专家，连续多年参与世界银行营商环境测评。2018年，入选司法部全国千名涉外律师人才推荐名单。</w:t>
      </w:r>
    </w:p>
    <w:p>
      <w:pPr>
        <w:spacing w:line="360" w:lineRule="auto"/>
        <w:rPr>
          <w:rFonts w:ascii="Times New Roman" w:hAnsi="Times New Roman" w:eastAsia="仿宋" w:cs="Times New Roman"/>
          <w:sz w:val="24"/>
          <w:szCs w:val="24"/>
        </w:rPr>
      </w:pPr>
    </w:p>
    <w:p>
      <w:pPr>
        <w:spacing w:line="360" w:lineRule="auto"/>
        <w:rPr>
          <w:rFonts w:ascii="Times New Roman" w:hAnsi="Times New Roman" w:eastAsia="仿宋" w:cs="Times New Roman"/>
          <w:sz w:val="24"/>
          <w:szCs w:val="24"/>
        </w:rPr>
      </w:pPr>
      <w:r>
        <w:rPr>
          <w:rFonts w:ascii="Times New Roman" w:hAnsi="Times New Roman" w:eastAsia="仿宋" w:cs="Times New Roman"/>
          <w:b/>
          <w:sz w:val="24"/>
          <w:szCs w:val="24"/>
        </w:rPr>
        <w:t>汪景涛</w:t>
      </w:r>
      <w:r>
        <w:rPr>
          <w:rFonts w:ascii="Times New Roman" w:hAnsi="Times New Roman" w:eastAsia="仿宋" w:cs="Times New Roman"/>
          <w:sz w:val="24"/>
          <w:szCs w:val="24"/>
        </w:rPr>
        <w:t xml:space="preserve">  上海建纬律师事务所律师助理，华东政法大学国际法学硕士。业务领域包括外商投资、房地产、公司业务等。</w:t>
      </w:r>
    </w:p>
    <w:p>
      <w:pPr>
        <w:spacing w:line="360" w:lineRule="auto"/>
        <w:ind w:firstLine="480" w:firstLineChars="200"/>
        <w:rPr>
          <w:rFonts w:ascii="Times New Roman" w:hAnsi="Times New Roman" w:eastAsia="仿宋" w:cs="Times New Roman"/>
          <w:sz w:val="24"/>
          <w:szCs w:val="24"/>
        </w:rPr>
      </w:pPr>
    </w:p>
    <w:p>
      <w:pPr>
        <w:spacing w:line="360" w:lineRule="auto"/>
        <w:ind w:firstLine="562" w:firstLineChars="200"/>
        <w:jc w:val="center"/>
        <w:rPr>
          <w:rFonts w:ascii="Times New Roman" w:hAnsi="Times New Roman" w:eastAsia="仿宋" w:cs="Times New Roman"/>
          <w:b/>
          <w:sz w:val="28"/>
          <w:szCs w:val="28"/>
        </w:rPr>
      </w:pPr>
      <w:r>
        <w:rPr>
          <w:rFonts w:ascii="Times New Roman" w:hAnsi="Times New Roman" w:eastAsia="仿宋" w:cs="Times New Roman"/>
          <w:b/>
          <w:sz w:val="28"/>
          <w:szCs w:val="28"/>
        </w:rPr>
        <w:t>前言</w:t>
      </w:r>
    </w:p>
    <w:p>
      <w:pPr>
        <w:tabs>
          <w:tab w:val="left" w:pos="7371"/>
        </w:tabs>
        <w:spacing w:line="360"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蒙古国（</w:t>
      </w:r>
      <w:r>
        <w:rPr>
          <w:rFonts w:ascii="Times New Roman" w:hAnsi="Times New Roman" w:eastAsia="仿宋" w:cs="Times New Roman"/>
          <w:sz w:val="24"/>
          <w:szCs w:val="24"/>
          <w:highlight w:val="none"/>
        </w:rPr>
        <w:t>Mongolia</w:t>
      </w:r>
      <w:r>
        <w:rPr>
          <w:rFonts w:ascii="Times New Roman" w:hAnsi="Times New Roman" w:eastAsia="仿宋" w:cs="Times New Roman"/>
          <w:sz w:val="24"/>
          <w:szCs w:val="24"/>
        </w:rPr>
        <w:t>），地处亚洲中部，是位于我国和俄罗斯之间</w:t>
      </w:r>
      <w:r>
        <w:rPr>
          <w:rFonts w:hint="eastAsia" w:ascii="Times New Roman" w:hAnsi="Times New Roman" w:eastAsia="仿宋" w:cs="Times New Roman"/>
          <w:sz w:val="24"/>
          <w:szCs w:val="24"/>
        </w:rPr>
        <w:t>的</w:t>
      </w:r>
      <w:r>
        <w:rPr>
          <w:rFonts w:ascii="Times New Roman" w:hAnsi="Times New Roman" w:eastAsia="仿宋" w:cs="Times New Roman"/>
          <w:sz w:val="24"/>
          <w:szCs w:val="24"/>
        </w:rPr>
        <w:t>内陆国家，首都为乌兰巴托；蒙古国国土面积为256.65万平方公里，地广人稀，矿产资源丰富，煤炭、铜、金等矿产品储量居世界前列；截至2017年12月底，蒙古国全国总人口约320万人。</w:t>
      </w:r>
    </w:p>
    <w:p>
      <w:pPr>
        <w:tabs>
          <w:tab w:val="left" w:pos="7371"/>
        </w:tabs>
        <w:spacing w:line="360"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根据世界银行统计，2018年蒙古国的国内生产总值（GDP）约为130.1亿美元，年增长率为6.95%</w:t>
      </w:r>
      <w:r>
        <w:rPr>
          <w:rStyle w:val="18"/>
          <w:rFonts w:ascii="Times New Roman" w:hAnsi="Times New Roman" w:eastAsia="仿宋" w:cs="Times New Roman"/>
          <w:sz w:val="24"/>
          <w:szCs w:val="24"/>
        </w:rPr>
        <w:footnoteReference w:id="0"/>
      </w:r>
      <w:r>
        <w:rPr>
          <w:rFonts w:ascii="Times New Roman" w:hAnsi="Times New Roman" w:eastAsia="仿宋" w:cs="Times New Roman"/>
          <w:sz w:val="24"/>
          <w:szCs w:val="24"/>
        </w:rPr>
        <w:t>。据中国商务部统计，2017年中国对蒙古国直接投资流量-2789万美元。截至2017年末，中国对蒙古国直接投资存量36.23亿美元。投资主要分布在矿产、能源、建筑、金融、畜产品加工、餐饮服务等行业</w:t>
      </w:r>
      <w:r>
        <w:rPr>
          <w:rStyle w:val="18"/>
          <w:rFonts w:ascii="Times New Roman" w:hAnsi="Times New Roman" w:eastAsia="仿宋" w:cs="Times New Roman"/>
          <w:sz w:val="24"/>
          <w:szCs w:val="24"/>
        </w:rPr>
        <w:footnoteReference w:id="1"/>
      </w:r>
      <w:r>
        <w:rPr>
          <w:rFonts w:ascii="Times New Roman" w:hAnsi="Times New Roman" w:eastAsia="仿宋" w:cs="Times New Roman"/>
          <w:sz w:val="24"/>
          <w:szCs w:val="24"/>
        </w:rPr>
        <w:t>。</w:t>
      </w:r>
    </w:p>
    <w:p>
      <w:pPr>
        <w:tabs>
          <w:tab w:val="left" w:pos="7371"/>
        </w:tabs>
        <w:spacing w:line="360"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世界经济论坛《2018年度全球竞争力报告》显示，蒙古国在全球最具竞争力的140个国家和地区中，排名第99位</w:t>
      </w:r>
      <w:r>
        <w:rPr>
          <w:rStyle w:val="18"/>
          <w:rFonts w:ascii="Times New Roman" w:hAnsi="Times New Roman" w:eastAsia="仿宋" w:cs="Times New Roman"/>
          <w:sz w:val="24"/>
          <w:szCs w:val="24"/>
        </w:rPr>
        <w:footnoteReference w:id="2"/>
      </w:r>
      <w:r>
        <w:rPr>
          <w:rFonts w:ascii="Times New Roman" w:hAnsi="Times New Roman" w:eastAsia="仿宋" w:cs="Times New Roman"/>
          <w:sz w:val="24"/>
          <w:szCs w:val="24"/>
        </w:rPr>
        <w:t>。世界银行《2019年营商环境报告》显示，在统计的190个经济体中，蒙古国的营商环境便利度排名第81位，分值为67.8</w:t>
      </w:r>
      <w:r>
        <w:rPr>
          <w:rStyle w:val="18"/>
          <w:rFonts w:ascii="Times New Roman" w:hAnsi="Times New Roman" w:eastAsia="仿宋" w:cs="Times New Roman"/>
          <w:sz w:val="24"/>
          <w:szCs w:val="24"/>
        </w:rPr>
        <w:footnoteReference w:id="3"/>
      </w:r>
      <w:r>
        <w:rPr>
          <w:rFonts w:ascii="Times New Roman" w:hAnsi="Times New Roman" w:eastAsia="仿宋" w:cs="Times New Roman"/>
          <w:sz w:val="24"/>
          <w:szCs w:val="24"/>
        </w:rPr>
        <w:t>。</w:t>
      </w:r>
    </w:p>
    <w:p>
      <w:pPr>
        <w:spacing w:line="360"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1994年10月24日，蒙古国加入《承认及执行外国仲裁裁决公约》（以下简称“</w:t>
      </w:r>
      <w:r>
        <w:rPr>
          <w:rFonts w:ascii="Times New Roman" w:hAnsi="Times New Roman" w:eastAsia="仿宋" w:cs="Times New Roman"/>
          <w:b/>
          <w:sz w:val="24"/>
          <w:szCs w:val="24"/>
        </w:rPr>
        <w:t>《纽约公约》</w:t>
      </w:r>
      <w:r>
        <w:rPr>
          <w:rFonts w:ascii="Times New Roman" w:hAnsi="Times New Roman" w:eastAsia="仿宋" w:cs="Times New Roman"/>
          <w:sz w:val="24"/>
          <w:szCs w:val="24"/>
        </w:rPr>
        <w:t>”），《纽约公约》自1995年1月22日对蒙古国生效；1996年7月14日，蒙古国加入并批准了《解决国家与他国国民间投资争议公约》（以下简称“《ICSID公约》”）。</w:t>
      </w:r>
    </w:p>
    <w:p>
      <w:pPr>
        <w:spacing w:line="360"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1991年8月26日，中蒙双方签订了《</w:t>
      </w:r>
      <w:r>
        <w:rPr>
          <w:rFonts w:ascii="Times New Roman" w:hAnsi="Times New Roman" w:eastAsia="仿宋" w:cs="Times New Roman"/>
          <w:bCs/>
          <w:sz w:val="24"/>
          <w:szCs w:val="24"/>
        </w:rPr>
        <w:t>中华人民共和国政府和</w:t>
      </w:r>
      <w:r>
        <w:rPr>
          <w:rFonts w:ascii="Times New Roman" w:hAnsi="Times New Roman" w:eastAsia="仿宋" w:cs="Times New Roman"/>
          <w:bCs/>
          <w:sz w:val="24"/>
          <w:szCs w:val="24"/>
          <w:highlight w:val="none"/>
        </w:rPr>
        <w:t>蒙古人</w:t>
      </w:r>
      <w:r>
        <w:rPr>
          <w:rFonts w:ascii="Times New Roman" w:hAnsi="Times New Roman" w:eastAsia="仿宋" w:cs="Times New Roman"/>
          <w:bCs/>
          <w:sz w:val="24"/>
          <w:szCs w:val="24"/>
        </w:rPr>
        <w:t>民共和国政府关于鼓励和相互保护投资协定</w:t>
      </w:r>
      <w:r>
        <w:rPr>
          <w:rFonts w:ascii="Times New Roman" w:hAnsi="Times New Roman" w:eastAsia="仿宋" w:cs="Times New Roman"/>
          <w:sz w:val="24"/>
          <w:szCs w:val="24"/>
        </w:rPr>
        <w:t>》（以下简称“</w:t>
      </w:r>
      <w:r>
        <w:rPr>
          <w:rFonts w:ascii="Times New Roman" w:hAnsi="Times New Roman" w:eastAsia="仿宋" w:cs="Times New Roman"/>
          <w:b/>
          <w:sz w:val="24"/>
          <w:szCs w:val="24"/>
        </w:rPr>
        <w:t>中蒙BIT</w:t>
      </w:r>
      <w:r>
        <w:rPr>
          <w:rFonts w:ascii="Times New Roman" w:hAnsi="Times New Roman" w:eastAsia="仿宋" w:cs="Times New Roman"/>
          <w:sz w:val="24"/>
          <w:szCs w:val="24"/>
        </w:rPr>
        <w:t>”），该协定自1993年11月1日生效；1991年8月26日，中蒙两国签署了《中华人民共和国政府和</w:t>
      </w:r>
      <w:r>
        <w:rPr>
          <w:rFonts w:ascii="Times New Roman" w:hAnsi="Times New Roman" w:eastAsia="仿宋" w:cs="Times New Roman"/>
          <w:sz w:val="24"/>
          <w:szCs w:val="24"/>
          <w:highlight w:val="none"/>
        </w:rPr>
        <w:t>蒙古人</w:t>
      </w:r>
      <w:r>
        <w:rPr>
          <w:rFonts w:ascii="Times New Roman" w:hAnsi="Times New Roman" w:eastAsia="仿宋" w:cs="Times New Roman"/>
          <w:sz w:val="24"/>
          <w:szCs w:val="24"/>
        </w:rPr>
        <w:t>民共和国政府关于对所得避免双重征税和防止偷漏税的协定》，该协定自1992年6月23日生效。</w:t>
      </w:r>
    </w:p>
    <w:p>
      <w:pPr>
        <w:spacing w:line="360"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本文重点就中蒙BIT的核心条款进行分析，同时结合与蒙古国相关的投资仲裁案件，从</w:t>
      </w:r>
      <w:r>
        <w:rPr>
          <w:rFonts w:hint="eastAsia" w:ascii="Times New Roman" w:hAnsi="Times New Roman" w:eastAsia="仿宋" w:cs="Times New Roman"/>
          <w:sz w:val="24"/>
          <w:szCs w:val="24"/>
        </w:rPr>
        <w:t>我</w:t>
      </w:r>
      <w:r>
        <w:rPr>
          <w:rFonts w:ascii="Times New Roman" w:hAnsi="Times New Roman" w:eastAsia="仿宋" w:cs="Times New Roman"/>
          <w:sz w:val="24"/>
          <w:szCs w:val="24"/>
        </w:rPr>
        <w:t>国投资者的角度揭示其中潜在的投资风险，旨在为保护中国投资者在蒙古国的投资提供一定的参考。</w:t>
      </w:r>
    </w:p>
    <w:p>
      <w:pPr>
        <w:spacing w:line="360" w:lineRule="auto"/>
        <w:ind w:firstLine="480" w:firstLineChars="200"/>
        <w:rPr>
          <w:rFonts w:ascii="Times New Roman" w:hAnsi="Times New Roman" w:eastAsia="仿宋" w:cs="Times New Roman"/>
          <w:sz w:val="24"/>
          <w:szCs w:val="24"/>
        </w:rPr>
      </w:pPr>
    </w:p>
    <w:p>
      <w:pPr>
        <w:pStyle w:val="2"/>
        <w:numPr>
          <w:ilvl w:val="0"/>
          <w:numId w:val="1"/>
        </w:numPr>
        <w:spacing w:before="0" w:after="0" w:line="360" w:lineRule="auto"/>
        <w:jc w:val="left"/>
        <w:rPr>
          <w:rFonts w:ascii="Times New Roman" w:hAnsi="Times New Roman" w:eastAsia="仿宋" w:cs="Times New Roman"/>
          <w:sz w:val="28"/>
          <w:szCs w:val="28"/>
        </w:rPr>
      </w:pPr>
      <w:r>
        <w:rPr>
          <w:rFonts w:ascii="Times New Roman" w:hAnsi="Times New Roman" w:eastAsia="仿宋" w:cs="Times New Roman"/>
          <w:sz w:val="28"/>
          <w:szCs w:val="28"/>
        </w:rPr>
        <w:t>“中蒙BIT”核心条款解析</w:t>
      </w:r>
    </w:p>
    <w:p>
      <w:pPr>
        <w:pStyle w:val="3"/>
        <w:spacing w:before="0" w:after="0" w:line="360" w:lineRule="auto"/>
        <w:ind w:firstLine="482" w:firstLineChars="200"/>
        <w:rPr>
          <w:rFonts w:ascii="Times New Roman" w:hAnsi="Times New Roman" w:eastAsia="仿宋" w:cs="Times New Roman"/>
          <w:sz w:val="24"/>
          <w:szCs w:val="24"/>
        </w:rPr>
      </w:pPr>
      <w:r>
        <w:rPr>
          <w:rFonts w:ascii="Times New Roman" w:hAnsi="Times New Roman" w:eastAsia="仿宋" w:cs="Times New Roman"/>
          <w:sz w:val="24"/>
          <w:szCs w:val="24"/>
        </w:rPr>
        <w:t>（一）中蒙BIT概览</w:t>
      </w:r>
    </w:p>
    <w:p>
      <w:pPr>
        <w:spacing w:line="360"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中蒙BIT主要包括以下条款：（1）“投资”、“投资者”、“收益”的定义；（2）对缔约另一方投资的鼓励和保护；（3）投资的待遇；（4）国有化、征收或类似措施；（5）投资有关款项的转移；（6）代位权；（7）协定解释或适用争端的解决；（8）投资者与东道国投资争议的解决；（9）更优待遇原则；（10））协定的适用范围；（11）缔约双方的磋商；（12）协定的生效、期限和终止。</w:t>
      </w:r>
    </w:p>
    <w:p>
      <w:pPr>
        <w:pStyle w:val="3"/>
        <w:spacing w:before="0" w:after="0" w:line="360" w:lineRule="auto"/>
        <w:ind w:left="482"/>
        <w:rPr>
          <w:rFonts w:ascii="Times New Roman" w:hAnsi="Times New Roman" w:eastAsia="仿宋" w:cs="Times New Roman"/>
          <w:sz w:val="24"/>
          <w:szCs w:val="24"/>
        </w:rPr>
      </w:pPr>
      <w:r>
        <w:rPr>
          <w:rFonts w:ascii="Times New Roman" w:hAnsi="Times New Roman" w:eastAsia="仿宋" w:cs="Times New Roman"/>
          <w:sz w:val="24"/>
          <w:szCs w:val="24"/>
        </w:rPr>
        <w:t>（二）投资和投资者的定义</w:t>
      </w:r>
    </w:p>
    <w:p>
      <w:pPr>
        <w:spacing w:line="360" w:lineRule="auto"/>
        <w:ind w:firstLine="482" w:firstLineChars="200"/>
        <w:rPr>
          <w:rFonts w:ascii="Times New Roman" w:hAnsi="Times New Roman" w:eastAsia="仿宋" w:cs="Times New Roman"/>
          <w:b/>
          <w:sz w:val="24"/>
          <w:szCs w:val="24"/>
        </w:rPr>
      </w:pPr>
      <w:r>
        <w:rPr>
          <w:rFonts w:ascii="Times New Roman" w:hAnsi="Times New Roman" w:eastAsia="仿宋" w:cs="Times New Roman"/>
          <w:b/>
          <w:sz w:val="24"/>
          <w:szCs w:val="24"/>
        </w:rPr>
        <w:t>1. 投资者的定义</w:t>
      </w:r>
    </w:p>
    <w:p>
      <w:pPr>
        <w:spacing w:line="360"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根据中蒙BIT第1条规定，中蒙BIT项下我国向蒙古国境内投资的“投资者”为：</w:t>
      </w:r>
    </w:p>
    <w:p>
      <w:pPr>
        <w:spacing w:line="360"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（1）具有我国国籍的自然人</w:t>
      </w:r>
      <w:bookmarkStart w:id="0" w:name="No15_T1K1X1M2"/>
      <w:bookmarkEnd w:id="0"/>
      <w:r>
        <w:rPr>
          <w:rFonts w:ascii="Times New Roman" w:hAnsi="Times New Roman" w:eastAsia="仿宋" w:cs="Times New Roman"/>
          <w:sz w:val="24"/>
          <w:szCs w:val="24"/>
        </w:rPr>
        <w:t>；</w:t>
      </w:r>
    </w:p>
    <w:p>
      <w:pPr>
        <w:spacing w:line="360"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（2）依照我国的法律设立，其住所在我国领土内的经济实体。</w:t>
      </w:r>
    </w:p>
    <w:p>
      <w:pPr>
        <w:spacing w:line="360" w:lineRule="auto"/>
        <w:ind w:firstLine="482" w:firstLineChars="200"/>
        <w:rPr>
          <w:rFonts w:ascii="Times New Roman" w:hAnsi="Times New Roman" w:eastAsia="仿宋" w:cs="Times New Roman"/>
          <w:sz w:val="24"/>
          <w:szCs w:val="24"/>
        </w:rPr>
      </w:pPr>
      <w:r>
        <w:rPr>
          <w:rFonts w:ascii="Times New Roman" w:hAnsi="Times New Roman" w:eastAsia="仿宋" w:cs="Times New Roman"/>
          <w:b/>
          <w:sz w:val="24"/>
          <w:szCs w:val="24"/>
        </w:rPr>
        <w:t>2．投资的定义</w:t>
      </w:r>
    </w:p>
    <w:p>
      <w:pPr>
        <w:spacing w:line="360"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中蒙BIT第1条第（1）款定义的我国投资者对蒙古国的“投资”为，我国投资者依照蒙古国的法律和法规在其领土内投资的各种财产，主要包括：</w:t>
      </w:r>
    </w:p>
    <w:p>
      <w:pPr>
        <w:spacing w:line="360"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（1）动产和不动产的所有权及其他财产权利，如抵押权、质权；</w:t>
      </w:r>
    </w:p>
    <w:p>
      <w:pPr>
        <w:spacing w:line="360"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（2）公司的股份、股票和债券或该公司财产中的权益；</w:t>
      </w:r>
    </w:p>
    <w:p>
      <w:pPr>
        <w:spacing w:line="360"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（3）金钱请求权或具有经济价值的行为请求权；</w:t>
      </w:r>
    </w:p>
    <w:p>
      <w:pPr>
        <w:spacing w:line="360"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（4）著作权，工业产权，专有技术和工艺流程；</w:t>
      </w:r>
    </w:p>
    <w:p>
      <w:pPr>
        <w:spacing w:line="360"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（5）依照法律授予的特许权，包括勘探和开发自然资源的特许权。</w:t>
      </w:r>
    </w:p>
    <w:p>
      <w:pPr>
        <w:spacing w:line="360"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前述条款列举的五类财产形式较为抽象，涵盖范围较广，对于一些特定类别的“财产”是否属于中蒙BIT下的合格“投资”，需要根据前述五类投资形式，并结合蒙古国国内相关法律规定加以考察。</w:t>
      </w:r>
    </w:p>
    <w:p>
      <w:pPr>
        <w:spacing w:line="360" w:lineRule="auto"/>
        <w:ind w:firstLine="480" w:firstLineChars="200"/>
        <w:rPr>
          <w:rFonts w:ascii="Times New Roman" w:hAnsi="Times New Roman" w:eastAsia="仿宋" w:cs="Times New Roman"/>
          <w:sz w:val="24"/>
          <w:szCs w:val="24"/>
        </w:rPr>
      </w:pPr>
      <w:bookmarkStart w:id="1" w:name="No9_T1K1X2"/>
      <w:bookmarkEnd w:id="1"/>
      <w:bookmarkStart w:id="2" w:name="No23_T1K1X4"/>
      <w:bookmarkEnd w:id="2"/>
      <w:bookmarkStart w:id="3" w:name="No10_T1K1X3"/>
      <w:bookmarkEnd w:id="3"/>
      <w:bookmarkStart w:id="4" w:name="No11_T1K1X4"/>
      <w:bookmarkEnd w:id="4"/>
      <w:bookmarkStart w:id="5" w:name="No22_T1K1X3"/>
      <w:bookmarkEnd w:id="5"/>
      <w:bookmarkStart w:id="6" w:name="No12_T1K1X5"/>
      <w:bookmarkEnd w:id="6"/>
      <w:bookmarkStart w:id="7" w:name="No21_T1K1X2"/>
      <w:bookmarkEnd w:id="7"/>
      <w:bookmarkStart w:id="8" w:name="No24_T1K1X5"/>
      <w:bookmarkEnd w:id="8"/>
      <w:r>
        <w:rPr>
          <w:rFonts w:ascii="Times New Roman" w:hAnsi="Times New Roman" w:eastAsia="仿宋" w:cs="Times New Roman"/>
          <w:sz w:val="24"/>
          <w:szCs w:val="24"/>
        </w:rPr>
        <w:t>（1）外国银行贷款</w:t>
      </w:r>
    </w:p>
    <w:p>
      <w:pPr>
        <w:spacing w:line="360"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根据蒙古国《货币结算法》第14.6条规定，如果蒙古国的法人或自然人从外国银行借入外汇，其应当在蒙古国中央银行对贷款进行登记</w:t>
      </w:r>
      <w:r>
        <w:rPr>
          <w:rStyle w:val="18"/>
          <w:rFonts w:ascii="Times New Roman" w:hAnsi="Times New Roman" w:eastAsia="仿宋" w:cs="Times New Roman"/>
          <w:sz w:val="24"/>
          <w:szCs w:val="24"/>
        </w:rPr>
        <w:footnoteReference w:id="4"/>
      </w:r>
      <w:r>
        <w:rPr>
          <w:rFonts w:ascii="Times New Roman" w:hAnsi="Times New Roman" w:eastAsia="仿宋" w:cs="Times New Roman"/>
          <w:sz w:val="24"/>
          <w:szCs w:val="24"/>
        </w:rPr>
        <w:t>。该条款仅要求向外国银行借款的蒙古国法人或自然人必须提供有关贷款的信息，并未对贷款合同本身施加限制。实践中，由于蒙古国银行、证券市场规模较小，资金实力有限，</w:t>
      </w:r>
      <w:r>
        <w:rPr>
          <w:rFonts w:hint="eastAsia" w:ascii="Times New Roman" w:hAnsi="Times New Roman" w:eastAsia="仿宋" w:cs="Times New Roman"/>
          <w:sz w:val="24"/>
          <w:szCs w:val="24"/>
        </w:rPr>
        <w:t>蒙古国境内</w:t>
      </w:r>
      <w:r>
        <w:rPr>
          <w:rFonts w:ascii="Times New Roman" w:hAnsi="Times New Roman" w:eastAsia="仿宋" w:cs="Times New Roman"/>
          <w:sz w:val="24"/>
          <w:szCs w:val="24"/>
        </w:rPr>
        <w:t>外资企业存在利用各种外国和国际组织贷款的情形</w:t>
      </w:r>
      <w:r>
        <w:rPr>
          <w:rStyle w:val="18"/>
          <w:rFonts w:ascii="Times New Roman" w:hAnsi="Times New Roman" w:eastAsia="仿宋" w:cs="Times New Roman"/>
          <w:sz w:val="24"/>
          <w:szCs w:val="24"/>
        </w:rPr>
        <w:footnoteReference w:id="5"/>
      </w:r>
      <w:r>
        <w:rPr>
          <w:rFonts w:ascii="Times New Roman" w:hAnsi="Times New Roman" w:eastAsia="仿宋" w:cs="Times New Roman"/>
          <w:sz w:val="24"/>
          <w:szCs w:val="24"/>
        </w:rPr>
        <w:t>。</w:t>
      </w:r>
    </w:p>
    <w:p>
      <w:pPr>
        <w:spacing w:line="360"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就我国银行等金融机构对蒙古国境内的公司发放的商业贷款，商业贷款放款完成</w:t>
      </w:r>
      <w:r>
        <w:rPr>
          <w:rFonts w:hint="eastAsia" w:ascii="Times New Roman" w:hAnsi="Times New Roman" w:eastAsia="仿宋" w:cs="Times New Roman"/>
          <w:sz w:val="24"/>
          <w:szCs w:val="24"/>
        </w:rPr>
        <w:t>之</w:t>
      </w:r>
      <w:r>
        <w:rPr>
          <w:rFonts w:ascii="Times New Roman" w:hAnsi="Times New Roman" w:eastAsia="仿宋" w:cs="Times New Roman"/>
          <w:sz w:val="24"/>
          <w:szCs w:val="24"/>
        </w:rPr>
        <w:t>后，贷款人即对借款人享有金钱请求权，因此，从中蒙BIT条款的文义理解，在不违反蒙古国相关法律法规前提下，我国银行等金融机构对蒙古国公司或企业的“贷款”应属于中蒙BIT下的投资。</w:t>
      </w:r>
    </w:p>
    <w:p>
      <w:pPr>
        <w:spacing w:line="360" w:lineRule="auto"/>
        <w:ind w:firstLine="480" w:firstLineChars="200"/>
        <w:rPr>
          <w:rFonts w:hint="eastAsia" w:ascii="Times New Roman" w:hAnsi="Times New Roman" w:eastAsia="仿宋" w:cs="Times New Roman"/>
          <w:sz w:val="24"/>
          <w:szCs w:val="24"/>
        </w:rPr>
      </w:pPr>
      <w:r>
        <w:rPr>
          <w:rFonts w:ascii="Times New Roman" w:hAnsi="Times New Roman" w:eastAsia="仿宋" w:cs="Times New Roman"/>
          <w:sz w:val="24"/>
          <w:szCs w:val="24"/>
        </w:rPr>
        <w:t>（2）国际承包工程项目</w:t>
      </w:r>
    </w:p>
    <w:p>
      <w:pPr>
        <w:spacing w:line="360" w:lineRule="auto"/>
        <w:ind w:firstLine="480" w:firstLineChars="200"/>
        <w:rPr>
          <w:rFonts w:hint="eastAsia" w:ascii="Times New Roman" w:hAnsi="Times New Roman" w:eastAsia="仿宋" w:cs="Times New Roman"/>
          <w:sz w:val="24"/>
          <w:szCs w:val="24"/>
        </w:rPr>
      </w:pPr>
      <w:r>
        <w:rPr>
          <w:rFonts w:ascii="Times New Roman" w:hAnsi="Times New Roman" w:eastAsia="仿宋" w:cs="Times New Roman"/>
          <w:sz w:val="24"/>
          <w:szCs w:val="24"/>
        </w:rPr>
        <w:t>a. 直接</w:t>
      </w:r>
      <w:r>
        <w:rPr>
          <w:rFonts w:hint="eastAsia" w:ascii="Times New Roman" w:hAnsi="Times New Roman" w:eastAsia="仿宋" w:cs="Times New Roman"/>
          <w:sz w:val="24"/>
          <w:szCs w:val="24"/>
        </w:rPr>
        <w:t>承包</w:t>
      </w:r>
      <w:r>
        <w:rPr>
          <w:rFonts w:ascii="Times New Roman" w:hAnsi="Times New Roman" w:eastAsia="仿宋" w:cs="Times New Roman"/>
          <w:sz w:val="24"/>
          <w:szCs w:val="24"/>
        </w:rPr>
        <w:t>工程项目</w:t>
      </w:r>
    </w:p>
    <w:p>
      <w:pPr>
        <w:spacing w:line="360" w:lineRule="auto"/>
        <w:ind w:firstLine="480" w:firstLineChars="200"/>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根据2016年2月5日蒙古国新修订的（以下简称“蒙古国《建筑法》”）第45条规定，外国投资者在蒙古境内承包工程项目须依照蒙古国《建筑法》第19条、20条规定取得从事建筑活动的许可证，以及依照第21条完成从事建筑活动的登记程序。</w:t>
      </w:r>
    </w:p>
    <w:p>
      <w:pPr>
        <w:spacing w:line="360" w:lineRule="auto"/>
        <w:ind w:firstLine="480" w:firstLineChars="200"/>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根据蒙古国《建筑法》第19条规定，在蒙古境内开发建设项目或从事工程施工，须获得</w:t>
      </w:r>
      <w:r>
        <w:rPr>
          <w:rFonts w:hint="eastAsia" w:ascii="Times New Roman" w:hAnsi="Times New Roman" w:eastAsia="仿宋" w:cs="Times New Roman"/>
          <w:sz w:val="24"/>
          <w:szCs w:val="24"/>
          <w:lang w:eastAsia="zh-CN"/>
        </w:rPr>
        <w:t>建设许可证</w:t>
      </w:r>
      <w:r>
        <w:rPr>
          <w:rFonts w:hint="eastAsia" w:ascii="Times New Roman" w:hAnsi="Times New Roman" w:eastAsia="仿宋" w:cs="Times New Roman"/>
          <w:sz w:val="24"/>
          <w:szCs w:val="24"/>
        </w:rPr>
        <w:t>（C</w:t>
      </w:r>
      <w:r>
        <w:rPr>
          <w:rFonts w:ascii="Times New Roman" w:hAnsi="Times New Roman" w:eastAsia="仿宋" w:cs="Times New Roman"/>
          <w:sz w:val="24"/>
          <w:szCs w:val="24"/>
        </w:rPr>
        <w:t xml:space="preserve">onstruction </w:t>
      </w:r>
      <w:r>
        <w:rPr>
          <w:rFonts w:hint="eastAsia" w:ascii="Times New Roman" w:hAnsi="Times New Roman" w:eastAsia="仿宋" w:cs="Times New Roman"/>
          <w:sz w:val="24"/>
          <w:szCs w:val="24"/>
        </w:rPr>
        <w:t>O</w:t>
      </w:r>
      <w:r>
        <w:rPr>
          <w:rFonts w:ascii="Times New Roman" w:hAnsi="Times New Roman" w:eastAsia="仿宋" w:cs="Times New Roman"/>
          <w:sz w:val="24"/>
          <w:szCs w:val="24"/>
        </w:rPr>
        <w:t xml:space="preserve">perating </w:t>
      </w:r>
      <w:r>
        <w:rPr>
          <w:rFonts w:hint="eastAsia" w:ascii="Times New Roman" w:hAnsi="Times New Roman" w:eastAsia="仿宋" w:cs="Times New Roman"/>
          <w:sz w:val="24"/>
          <w:szCs w:val="24"/>
        </w:rPr>
        <w:t>L</w:t>
      </w:r>
      <w:r>
        <w:rPr>
          <w:rFonts w:ascii="Times New Roman" w:hAnsi="Times New Roman" w:eastAsia="仿宋" w:cs="Times New Roman"/>
          <w:sz w:val="24"/>
          <w:szCs w:val="24"/>
        </w:rPr>
        <w:t>icense</w:t>
      </w:r>
      <w:r>
        <w:rPr>
          <w:rFonts w:hint="eastAsia" w:ascii="Times New Roman" w:hAnsi="Times New Roman" w:eastAsia="仿宋" w:cs="Times New Roman"/>
          <w:sz w:val="24"/>
          <w:szCs w:val="24"/>
        </w:rPr>
        <w:t>）方可从事相关工作</w:t>
      </w:r>
      <w:r>
        <w:rPr>
          <w:rStyle w:val="18"/>
          <w:rFonts w:ascii="Times New Roman" w:hAnsi="Times New Roman" w:eastAsia="仿宋" w:cs="Times New Roman"/>
          <w:sz w:val="24"/>
          <w:szCs w:val="24"/>
        </w:rPr>
        <w:footnoteReference w:id="6"/>
      </w:r>
      <w:r>
        <w:rPr>
          <w:rFonts w:hint="eastAsia" w:ascii="Times New Roman" w:hAnsi="Times New Roman" w:eastAsia="仿宋" w:cs="Times New Roman"/>
          <w:sz w:val="24"/>
          <w:szCs w:val="24"/>
        </w:rPr>
        <w:t>。根据蒙古国《建筑法》第20.3条规定，申请</w:t>
      </w:r>
      <w:r>
        <w:rPr>
          <w:rFonts w:hint="eastAsia" w:ascii="Times New Roman" w:hAnsi="Times New Roman" w:eastAsia="仿宋" w:cs="Times New Roman"/>
          <w:sz w:val="24"/>
          <w:szCs w:val="24"/>
          <w:lang w:eastAsia="zh-CN"/>
        </w:rPr>
        <w:t>建设许可证</w:t>
      </w:r>
      <w:r>
        <w:rPr>
          <w:rFonts w:hint="eastAsia" w:ascii="Times New Roman" w:hAnsi="Times New Roman" w:eastAsia="仿宋" w:cs="Times New Roman"/>
          <w:sz w:val="24"/>
          <w:szCs w:val="24"/>
        </w:rPr>
        <w:t>须提交的材料包括：法人营业执照（T</w:t>
      </w:r>
      <w:r>
        <w:rPr>
          <w:rFonts w:ascii="Times New Roman" w:hAnsi="Times New Roman" w:eastAsia="仿宋" w:cs="Times New Roman"/>
          <w:sz w:val="24"/>
          <w:szCs w:val="24"/>
        </w:rPr>
        <w:t xml:space="preserve">he </w:t>
      </w:r>
      <w:r>
        <w:rPr>
          <w:rFonts w:hint="eastAsia" w:ascii="Times New Roman" w:hAnsi="Times New Roman" w:eastAsia="仿宋" w:cs="Times New Roman"/>
          <w:sz w:val="24"/>
          <w:szCs w:val="24"/>
        </w:rPr>
        <w:t>L</w:t>
      </w:r>
      <w:r>
        <w:rPr>
          <w:rFonts w:ascii="Times New Roman" w:hAnsi="Times New Roman" w:eastAsia="仿宋" w:cs="Times New Roman"/>
          <w:sz w:val="24"/>
          <w:szCs w:val="24"/>
        </w:rPr>
        <w:t xml:space="preserve">egal </w:t>
      </w:r>
      <w:r>
        <w:rPr>
          <w:rFonts w:hint="eastAsia" w:ascii="Times New Roman" w:hAnsi="Times New Roman" w:eastAsia="仿宋" w:cs="Times New Roman"/>
          <w:sz w:val="24"/>
          <w:szCs w:val="24"/>
        </w:rPr>
        <w:t>E</w:t>
      </w:r>
      <w:r>
        <w:rPr>
          <w:rFonts w:ascii="Times New Roman" w:hAnsi="Times New Roman" w:eastAsia="仿宋" w:cs="Times New Roman"/>
          <w:sz w:val="24"/>
          <w:szCs w:val="24"/>
        </w:rPr>
        <w:t xml:space="preserve">ntity </w:t>
      </w:r>
      <w:r>
        <w:rPr>
          <w:rFonts w:hint="eastAsia" w:ascii="Times New Roman" w:hAnsi="Times New Roman" w:eastAsia="仿宋" w:cs="Times New Roman"/>
          <w:sz w:val="24"/>
          <w:szCs w:val="24"/>
        </w:rPr>
        <w:t>O</w:t>
      </w:r>
      <w:r>
        <w:rPr>
          <w:rFonts w:ascii="Times New Roman" w:hAnsi="Times New Roman" w:eastAsia="仿宋" w:cs="Times New Roman"/>
          <w:sz w:val="24"/>
          <w:szCs w:val="24"/>
        </w:rPr>
        <w:t xml:space="preserve">perating </w:t>
      </w:r>
      <w:r>
        <w:rPr>
          <w:rFonts w:hint="eastAsia" w:ascii="Times New Roman" w:hAnsi="Times New Roman" w:eastAsia="仿宋" w:cs="Times New Roman"/>
          <w:sz w:val="24"/>
          <w:szCs w:val="24"/>
        </w:rPr>
        <w:t>L</w:t>
      </w:r>
      <w:r>
        <w:rPr>
          <w:rFonts w:ascii="Times New Roman" w:hAnsi="Times New Roman" w:eastAsia="仿宋" w:cs="Times New Roman"/>
          <w:sz w:val="24"/>
          <w:szCs w:val="24"/>
        </w:rPr>
        <w:t>icense</w:t>
      </w:r>
      <w:r>
        <w:rPr>
          <w:rFonts w:hint="eastAsia" w:ascii="Times New Roman" w:hAnsi="Times New Roman" w:eastAsia="仿宋" w:cs="Times New Roman"/>
          <w:sz w:val="24"/>
          <w:szCs w:val="24"/>
        </w:rPr>
        <w:t>）</w:t>
      </w:r>
      <w:r>
        <w:rPr>
          <w:rStyle w:val="18"/>
          <w:rFonts w:ascii="Times New Roman" w:hAnsi="Times New Roman" w:eastAsia="仿宋" w:cs="Times New Roman"/>
          <w:sz w:val="24"/>
          <w:szCs w:val="24"/>
        </w:rPr>
        <w:footnoteReference w:id="7"/>
      </w:r>
      <w:r>
        <w:rPr>
          <w:rFonts w:hint="eastAsia" w:ascii="Times New Roman" w:hAnsi="Times New Roman" w:eastAsia="仿宋" w:cs="Times New Roman"/>
          <w:sz w:val="24"/>
          <w:szCs w:val="24"/>
        </w:rPr>
        <w:t>，人员资料，工具、设备、硬件的清单，关于使用前述设备的协议等</w:t>
      </w:r>
      <w:r>
        <w:rPr>
          <w:rStyle w:val="18"/>
          <w:rFonts w:ascii="Times New Roman" w:hAnsi="Times New Roman" w:eastAsia="仿宋" w:cs="Times New Roman"/>
          <w:sz w:val="24"/>
          <w:szCs w:val="24"/>
        </w:rPr>
        <w:footnoteReference w:id="8"/>
      </w:r>
      <w:r>
        <w:rPr>
          <w:rFonts w:hint="eastAsia" w:ascii="Times New Roman" w:hAnsi="Times New Roman" w:eastAsia="仿宋" w:cs="Times New Roman"/>
          <w:sz w:val="24"/>
          <w:szCs w:val="24"/>
        </w:rPr>
        <w:t>。根据蒙古国《建筑法》第21.1条规定，在蒙境内从事测量、制图、建筑设计、建筑工程、建筑材料生产等工作的法律实体须根据第21.2条规定完成登记程序，登记可以通过电子方式进行</w:t>
      </w:r>
      <w:r>
        <w:rPr>
          <w:rStyle w:val="18"/>
          <w:rFonts w:ascii="Times New Roman" w:hAnsi="Times New Roman" w:eastAsia="仿宋" w:cs="Times New Roman"/>
          <w:sz w:val="24"/>
          <w:szCs w:val="24"/>
        </w:rPr>
        <w:footnoteReference w:id="9"/>
      </w:r>
      <w:r>
        <w:rPr>
          <w:rFonts w:hint="eastAsia" w:ascii="Times New Roman" w:hAnsi="Times New Roman" w:eastAsia="仿宋" w:cs="Times New Roman"/>
          <w:sz w:val="24"/>
          <w:szCs w:val="24"/>
        </w:rPr>
        <w:t>。</w:t>
      </w:r>
    </w:p>
    <w:p>
      <w:pPr>
        <w:spacing w:line="360" w:lineRule="auto"/>
        <w:ind w:firstLine="480" w:firstLineChars="200"/>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笔者认为，依照2016年蒙古国《建筑法》的相关规定，我国法人投资者在满足蒙古国境内关于</w:t>
      </w:r>
      <w:r>
        <w:rPr>
          <w:rFonts w:hint="eastAsia" w:ascii="Times New Roman" w:hAnsi="Times New Roman" w:eastAsia="仿宋" w:cs="Times New Roman"/>
          <w:sz w:val="24"/>
          <w:szCs w:val="24"/>
          <w:lang w:eastAsia="zh-CN"/>
        </w:rPr>
        <w:t>建设许可证</w:t>
      </w:r>
      <w:r>
        <w:rPr>
          <w:rFonts w:hint="eastAsia" w:ascii="Times New Roman" w:hAnsi="Times New Roman" w:eastAsia="仿宋" w:cs="Times New Roman"/>
          <w:sz w:val="24"/>
          <w:szCs w:val="24"/>
        </w:rPr>
        <w:t>以及登记程序的前提下，有权在蒙古国境内以签订合同的方式承包工程项目。</w:t>
      </w:r>
      <w:r>
        <w:rPr>
          <w:rFonts w:ascii="Times New Roman" w:hAnsi="Times New Roman" w:eastAsia="仿宋" w:cs="Times New Roman"/>
          <w:sz w:val="24"/>
          <w:szCs w:val="24"/>
        </w:rPr>
        <w:t>直接</w:t>
      </w:r>
      <w:r>
        <w:rPr>
          <w:rFonts w:hint="eastAsia" w:ascii="Times New Roman" w:hAnsi="Times New Roman" w:eastAsia="仿宋" w:cs="Times New Roman"/>
          <w:sz w:val="24"/>
          <w:szCs w:val="24"/>
        </w:rPr>
        <w:t>承包</w:t>
      </w:r>
      <w:r>
        <w:rPr>
          <w:rFonts w:ascii="Times New Roman" w:hAnsi="Times New Roman" w:eastAsia="仿宋" w:cs="Times New Roman"/>
          <w:sz w:val="24"/>
          <w:szCs w:val="24"/>
        </w:rPr>
        <w:t>工程项目方式下</w:t>
      </w:r>
      <w:r>
        <w:rPr>
          <w:rFonts w:hint="eastAsia" w:ascii="Times New Roman" w:hAnsi="Times New Roman" w:eastAsia="仿宋" w:cs="Times New Roman"/>
          <w:sz w:val="24"/>
          <w:szCs w:val="24"/>
        </w:rPr>
        <w:t>，</w:t>
      </w:r>
      <w:r>
        <w:rPr>
          <w:rFonts w:ascii="Times New Roman" w:hAnsi="Times New Roman" w:eastAsia="仿宋" w:cs="Times New Roman"/>
          <w:sz w:val="24"/>
          <w:szCs w:val="24"/>
        </w:rPr>
        <w:t>我国投资者享有</w:t>
      </w:r>
      <w:r>
        <w:rPr>
          <w:rFonts w:hint="eastAsia" w:ascii="Times New Roman" w:hAnsi="Times New Roman" w:eastAsia="仿宋" w:cs="Times New Roman"/>
          <w:sz w:val="24"/>
          <w:szCs w:val="24"/>
        </w:rPr>
        <w:t>“</w:t>
      </w:r>
      <w:r>
        <w:rPr>
          <w:rFonts w:ascii="Times New Roman" w:hAnsi="Times New Roman" w:eastAsia="仿宋" w:cs="Times New Roman"/>
          <w:sz w:val="24"/>
          <w:szCs w:val="24"/>
        </w:rPr>
        <w:t>金钱请求权或具有经济价值的行为请求权</w:t>
      </w:r>
      <w:r>
        <w:rPr>
          <w:rFonts w:hint="eastAsia" w:ascii="Times New Roman" w:hAnsi="Times New Roman" w:eastAsia="仿宋" w:cs="Times New Roman"/>
          <w:sz w:val="24"/>
          <w:szCs w:val="24"/>
        </w:rPr>
        <w:t>”，符合</w:t>
      </w:r>
      <w:r>
        <w:rPr>
          <w:rFonts w:ascii="Times New Roman" w:hAnsi="Times New Roman" w:eastAsia="仿宋" w:cs="Times New Roman"/>
          <w:sz w:val="24"/>
          <w:szCs w:val="24"/>
        </w:rPr>
        <w:t>中蒙BIT第</w:t>
      </w:r>
      <w:r>
        <w:rPr>
          <w:rFonts w:hint="eastAsia" w:ascii="Times New Roman" w:hAnsi="Times New Roman" w:eastAsia="仿宋" w:cs="Times New Roman"/>
          <w:sz w:val="24"/>
          <w:szCs w:val="24"/>
        </w:rPr>
        <w:t>1条第（1）款第三项关于 “投资”的定义，应当属于</w:t>
      </w:r>
      <w:r>
        <w:rPr>
          <w:rFonts w:ascii="Times New Roman" w:hAnsi="Times New Roman" w:eastAsia="仿宋" w:cs="Times New Roman"/>
          <w:sz w:val="24"/>
          <w:szCs w:val="24"/>
        </w:rPr>
        <w:t>中蒙BIT项下的合格投资</w:t>
      </w:r>
      <w:r>
        <w:rPr>
          <w:rFonts w:hint="eastAsia" w:ascii="Times New Roman" w:hAnsi="Times New Roman" w:eastAsia="仿宋" w:cs="Times New Roman"/>
          <w:sz w:val="24"/>
          <w:szCs w:val="24"/>
        </w:rPr>
        <w:t>。</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highlight w:val="none"/>
        </w:rPr>
        <w:t>b</w:t>
      </w:r>
      <w:r>
        <w:rPr>
          <w:rFonts w:ascii="Times New Roman" w:hAnsi="Times New Roman" w:eastAsia="仿宋" w:cs="Times New Roman"/>
          <w:sz w:val="24"/>
          <w:szCs w:val="24"/>
        </w:rPr>
        <w:t>.</w:t>
      </w:r>
      <w:r>
        <w:rPr>
          <w:rFonts w:hint="eastAsia" w:ascii="Times New Roman" w:hAnsi="Times New Roman" w:eastAsia="仿宋" w:cs="Times New Roman"/>
          <w:sz w:val="24"/>
          <w:szCs w:val="24"/>
          <w:highlight w:val="none"/>
        </w:rPr>
        <w:t xml:space="preserve"> </w:t>
      </w:r>
      <w:r>
        <w:rPr>
          <w:rFonts w:ascii="Times New Roman" w:hAnsi="Times New Roman" w:eastAsia="仿宋" w:cs="Times New Roman"/>
          <w:sz w:val="24"/>
          <w:szCs w:val="24"/>
        </w:rPr>
        <w:t>设立子公司承包工程项目</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highlight w:val="none"/>
        </w:rPr>
        <w:t>除前述</w:t>
      </w:r>
      <w:r>
        <w:rPr>
          <w:rFonts w:hint="eastAsia" w:ascii="Times New Roman" w:hAnsi="Times New Roman" w:eastAsia="仿宋" w:cs="Times New Roman"/>
          <w:sz w:val="24"/>
          <w:szCs w:val="24"/>
        </w:rPr>
        <w:t>在蒙境内直接承包工程项目方式外，我国投资者亦可通过在蒙境内单独成立或与当地企业合作成立子公司的方式承包工程项目。</w:t>
      </w:r>
      <w:r>
        <w:rPr>
          <w:rFonts w:ascii="Times New Roman" w:hAnsi="Times New Roman" w:eastAsia="仿宋" w:cs="Times New Roman"/>
          <w:sz w:val="24"/>
          <w:szCs w:val="24"/>
        </w:rPr>
        <w:t>根据蒙古国《投资法》第3.1.5条规定，蒙古国的外国投资企业是指按蒙古国法律注册成立，外国投资人占有股份25%或以上且每个外国投资人的投资额超过10万美元或等额图格里克的企业</w:t>
      </w:r>
      <w:r>
        <w:rPr>
          <w:rFonts w:hint="eastAsia" w:ascii="Times New Roman" w:hAnsi="Times New Roman" w:eastAsia="仿宋" w:cs="Times New Roman"/>
          <w:sz w:val="24"/>
          <w:szCs w:val="24"/>
        </w:rPr>
        <w:t>。因此，我国投资者在与当地企业成立合资公司时须满足持股25%以上且投资额超过</w:t>
      </w:r>
      <w:r>
        <w:rPr>
          <w:rFonts w:ascii="Times New Roman" w:hAnsi="Times New Roman" w:eastAsia="仿宋" w:cs="Times New Roman"/>
          <w:sz w:val="24"/>
          <w:szCs w:val="24"/>
        </w:rPr>
        <w:t>10万美元的条件</w:t>
      </w:r>
      <w:r>
        <w:rPr>
          <w:rFonts w:hint="eastAsia" w:ascii="Times New Roman" w:hAnsi="Times New Roman" w:eastAsia="仿宋" w:cs="Times New Roman"/>
          <w:sz w:val="24"/>
          <w:szCs w:val="24"/>
        </w:rPr>
        <w:t>。</w:t>
      </w:r>
    </w:p>
    <w:p>
      <w:pPr>
        <w:spacing w:line="360"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由于我国投资者在蒙投资的子公司是依照蒙古国法律注册成立的蒙古国外国投资企业，不属于中蒙BIT下的投资者，其承包工程项目行为不适用中蒙BIT，但其可获得蒙古国境内关于外资企业相关法律法规的保护。同时，作为在蒙设立的子公司股东的中国投资者，其股权投资符合中蒙BIT第1条第（1）款第二项定义的合格“投资”，可依据中蒙BIT对其股权投资寻求条约保护。</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c</w:t>
      </w:r>
      <w:r>
        <w:rPr>
          <w:rFonts w:ascii="Times New Roman" w:hAnsi="Times New Roman" w:eastAsia="仿宋" w:cs="Times New Roman"/>
          <w:sz w:val="24"/>
          <w:szCs w:val="24"/>
        </w:rPr>
        <w:t xml:space="preserve">. </w:t>
      </w:r>
      <w:r>
        <w:rPr>
          <w:rFonts w:hint="eastAsia" w:ascii="Times New Roman" w:hAnsi="Times New Roman" w:eastAsia="仿宋" w:cs="Times New Roman"/>
          <w:sz w:val="24"/>
          <w:szCs w:val="24"/>
        </w:rPr>
        <w:t>以</w:t>
      </w:r>
      <w:r>
        <w:rPr>
          <w:rFonts w:ascii="Times New Roman" w:hAnsi="Times New Roman" w:eastAsia="仿宋" w:cs="Times New Roman"/>
          <w:sz w:val="24"/>
          <w:szCs w:val="24"/>
        </w:rPr>
        <w:t>特许经营权方式承包工程项目</w:t>
      </w:r>
    </w:p>
    <w:p>
      <w:pPr>
        <w:spacing w:line="360"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近年来，蒙古国政府积极推动在“公私合作伙伴关系（Public Private Partnership, PPP）”框架下项目建设，推动公共部门和私营部门间合作。2009年10月，蒙古国政府出台“公私合作伙伴关系”国家政策，鼓励私营部门参与各领域项目建设。</w:t>
      </w:r>
    </w:p>
    <w:p>
      <w:pPr>
        <w:spacing w:line="360"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2010年1月，蒙古国议会通过《特许经营法》；2015年4月，中国核工业第二二建设有限公司在乌兰巴托市巴格诺尔区以建设-运行-移交（BOT）模式承建700MW燃煤电站，特许权期限为25年</w:t>
      </w:r>
      <w:r>
        <w:rPr>
          <w:rStyle w:val="18"/>
          <w:rFonts w:ascii="Times New Roman" w:hAnsi="Times New Roman" w:eastAsia="仿宋" w:cs="Times New Roman"/>
          <w:sz w:val="24"/>
          <w:szCs w:val="24"/>
        </w:rPr>
        <w:footnoteReference w:id="10"/>
      </w:r>
      <w:r>
        <w:rPr>
          <w:rFonts w:ascii="Times New Roman" w:hAnsi="Times New Roman" w:eastAsia="仿宋" w:cs="Times New Roman"/>
          <w:sz w:val="24"/>
          <w:szCs w:val="24"/>
        </w:rPr>
        <w:t>。</w:t>
      </w:r>
    </w:p>
    <w:p>
      <w:pPr>
        <w:spacing w:line="360"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当前蒙古国法律法规允许外国投资者以BOT、PPP等方式进行投资合作</w:t>
      </w:r>
      <w:r>
        <w:rPr>
          <w:rFonts w:hint="eastAsia" w:ascii="Times New Roman" w:hAnsi="Times New Roman" w:eastAsia="仿宋" w:cs="Times New Roman"/>
          <w:sz w:val="24"/>
          <w:szCs w:val="24"/>
        </w:rPr>
        <w:t>。</w:t>
      </w:r>
      <w:r>
        <w:rPr>
          <w:rFonts w:ascii="Times New Roman" w:hAnsi="Times New Roman" w:eastAsia="仿宋" w:cs="Times New Roman"/>
          <w:sz w:val="24"/>
          <w:szCs w:val="24"/>
        </w:rPr>
        <w:t>若我国投资者采用BOT、PPP等方式承包工程项目的，则享有“依照法律授予的特许权”，属于中蒙BIT下的合格投资。</w:t>
      </w:r>
    </w:p>
    <w:p>
      <w:pPr>
        <w:spacing w:line="360" w:lineRule="auto"/>
        <w:ind w:firstLine="480" w:firstLineChars="200"/>
        <w:rPr>
          <w:rFonts w:ascii="Times New Roman" w:hAnsi="Times New Roman" w:eastAsia="仿宋" w:cs="Times New Roman"/>
          <w:sz w:val="24"/>
          <w:szCs w:val="24"/>
        </w:rPr>
      </w:pPr>
    </w:p>
    <w:p>
      <w:pPr>
        <w:pStyle w:val="3"/>
        <w:spacing w:before="0" w:after="0" w:line="360" w:lineRule="auto"/>
        <w:ind w:firstLine="482" w:firstLineChars="200"/>
        <w:rPr>
          <w:rFonts w:ascii="Times New Roman" w:hAnsi="Times New Roman" w:eastAsia="仿宋" w:cs="Times New Roman"/>
          <w:sz w:val="24"/>
          <w:szCs w:val="24"/>
        </w:rPr>
      </w:pPr>
      <w:r>
        <w:rPr>
          <w:rFonts w:ascii="Times New Roman" w:hAnsi="Times New Roman" w:eastAsia="仿宋" w:cs="Times New Roman"/>
          <w:sz w:val="24"/>
          <w:szCs w:val="24"/>
        </w:rPr>
        <w:t>（三）外资的待遇</w:t>
      </w:r>
    </w:p>
    <w:p>
      <w:pPr>
        <w:spacing w:line="360"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根据中蒙BIT第3条第（1）款规定，我国投资者在蒙古国领土内</w:t>
      </w:r>
      <w:r>
        <w:rPr>
          <w:rFonts w:ascii="Times New Roman" w:hAnsi="Times New Roman" w:eastAsia="仿宋" w:cs="Times New Roman"/>
          <w:sz w:val="24"/>
          <w:szCs w:val="24"/>
          <w:highlight w:val="none"/>
        </w:rPr>
        <w:t>的</w:t>
      </w:r>
      <w:r>
        <w:rPr>
          <w:rFonts w:ascii="Times New Roman" w:hAnsi="Times New Roman" w:eastAsia="仿宋" w:cs="Times New Roman"/>
          <w:sz w:val="24"/>
          <w:szCs w:val="24"/>
        </w:rPr>
        <w:t>投资、收益和与投资有关的活动应受到公平的待遇和保护。2013年11月1日正式实施的蒙古国《投资法》同时适用于蒙古国境内投资的外国及其本国投资人，外国投资者和蒙本土投资者实行享有较为统一的待遇。</w:t>
      </w:r>
    </w:p>
    <w:p>
      <w:pPr>
        <w:spacing w:line="360"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根据中蒙BIT第3条第（2）款规定，中蒙BIT第3条第（1）款所述的待遇应不低于蒙古国给予任何第三国投资者的投资、收益和与投资有关的活动的待遇和保护，即最惠国待遇；中蒙BIT第3条第（3）款规定的“最惠国待遇”的例外包括任一缔约一方依照关税同盟、自由贸易区、经济联盟、避免双重征税协定或为了方便边境贸易而给予第三国投资者的投资的任何优惠待遇。</w:t>
      </w:r>
    </w:p>
    <w:p>
      <w:pPr>
        <w:spacing w:line="360"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根据中蒙BIT第9条规定，如果蒙古国根据其法律法规给予我国投资者的投资或与投资有关的活动的待遇较中蒙BIT的规定更为优惠，则应从优适用。因此，我国投资者应同样注重考察蒙古国国内法律、法规中关于外国投资的规定。蒙古国境内与外国投资合作相关的法律主要包括《投资法</w:t>
      </w:r>
      <w:r>
        <w:rPr>
          <w:rFonts w:ascii="Times New Roman" w:hAnsi="Times New Roman" w:eastAsia="仿宋" w:cs="Times New Roman"/>
          <w:sz w:val="24"/>
          <w:szCs w:val="24"/>
          <w:highlight w:val="none"/>
        </w:rPr>
        <w:t>》、《</w:t>
      </w:r>
      <w:r>
        <w:rPr>
          <w:rFonts w:ascii="Times New Roman" w:hAnsi="Times New Roman" w:eastAsia="仿宋" w:cs="Times New Roman"/>
          <w:sz w:val="24"/>
          <w:szCs w:val="24"/>
        </w:rPr>
        <w:t>公司法</w:t>
      </w:r>
      <w:r>
        <w:rPr>
          <w:rFonts w:ascii="Times New Roman" w:hAnsi="Times New Roman" w:eastAsia="仿宋" w:cs="Times New Roman"/>
          <w:sz w:val="24"/>
          <w:szCs w:val="24"/>
          <w:highlight w:val="none"/>
        </w:rPr>
        <w:t>》、《</w:t>
      </w:r>
      <w:r>
        <w:rPr>
          <w:rFonts w:ascii="Times New Roman" w:hAnsi="Times New Roman" w:eastAsia="仿宋" w:cs="Times New Roman"/>
          <w:sz w:val="24"/>
          <w:szCs w:val="24"/>
        </w:rPr>
        <w:t>矿产法</w:t>
      </w:r>
      <w:r>
        <w:rPr>
          <w:rFonts w:ascii="Times New Roman" w:hAnsi="Times New Roman" w:eastAsia="仿宋" w:cs="Times New Roman"/>
          <w:sz w:val="24"/>
          <w:szCs w:val="24"/>
          <w:highlight w:val="none"/>
        </w:rPr>
        <w:t>》、《</w:t>
      </w:r>
      <w:r>
        <w:rPr>
          <w:rFonts w:ascii="Times New Roman" w:hAnsi="Times New Roman" w:eastAsia="仿宋" w:cs="Times New Roman"/>
          <w:sz w:val="24"/>
          <w:szCs w:val="24"/>
        </w:rPr>
        <w:t>劳动法》等。</w:t>
      </w:r>
    </w:p>
    <w:p>
      <w:pPr>
        <w:spacing w:line="360"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根据蒙古国《投资法》，除蒙古国法律法规禁止从事的生产和服务行业以外，都允许外商投资。蒙古国法律明确禁止的行业是麻醉品、鸦片和枪支武器生产等，除此之外没有其他禁止投资的行业</w:t>
      </w:r>
      <w:r>
        <w:rPr>
          <w:rStyle w:val="18"/>
          <w:rFonts w:ascii="Times New Roman" w:hAnsi="Times New Roman" w:eastAsia="仿宋" w:cs="Times New Roman"/>
          <w:sz w:val="24"/>
          <w:szCs w:val="24"/>
        </w:rPr>
        <w:footnoteReference w:id="11"/>
      </w:r>
      <w:r>
        <w:rPr>
          <w:rFonts w:ascii="Times New Roman" w:hAnsi="Times New Roman" w:eastAsia="仿宋" w:cs="Times New Roman"/>
          <w:sz w:val="24"/>
          <w:szCs w:val="24"/>
        </w:rPr>
        <w:t>。但就矿业、金融、新闻通讯领域，外国国有资产法人</w:t>
      </w:r>
      <w:r>
        <w:rPr>
          <w:rStyle w:val="18"/>
          <w:rFonts w:ascii="Times New Roman" w:hAnsi="Times New Roman" w:eastAsia="仿宋" w:cs="Times New Roman"/>
          <w:sz w:val="24"/>
          <w:szCs w:val="24"/>
        </w:rPr>
        <w:footnoteReference w:id="12"/>
      </w:r>
      <w:r>
        <w:rPr>
          <w:rFonts w:ascii="Times New Roman" w:hAnsi="Times New Roman" w:eastAsia="仿宋" w:cs="Times New Roman"/>
          <w:sz w:val="24"/>
          <w:szCs w:val="24"/>
        </w:rPr>
        <w:t>在其投资的蒙古国法人总股份占有比例达到33%或以上时须获得投资主管部门批准。</w:t>
      </w:r>
    </w:p>
    <w:p>
      <w:pPr>
        <w:spacing w:line="360" w:lineRule="auto"/>
        <w:rPr>
          <w:rFonts w:ascii="Times New Roman" w:hAnsi="Times New Roman" w:eastAsia="仿宋" w:cs="Times New Roman"/>
          <w:sz w:val="24"/>
          <w:szCs w:val="24"/>
        </w:rPr>
      </w:pPr>
    </w:p>
    <w:p>
      <w:pPr>
        <w:pStyle w:val="3"/>
        <w:spacing w:before="0" w:after="0" w:line="360" w:lineRule="auto"/>
        <w:ind w:firstLine="482" w:firstLineChars="200"/>
        <w:rPr>
          <w:rFonts w:ascii="Times New Roman" w:hAnsi="Times New Roman" w:eastAsia="仿宋" w:cs="Times New Roman"/>
          <w:sz w:val="24"/>
          <w:szCs w:val="24"/>
        </w:rPr>
      </w:pPr>
      <w:r>
        <w:rPr>
          <w:rFonts w:ascii="Times New Roman" w:hAnsi="Times New Roman" w:eastAsia="仿宋" w:cs="Times New Roman"/>
          <w:sz w:val="24"/>
          <w:szCs w:val="24"/>
        </w:rPr>
        <w:t>（四）征收、国有化或类似措施</w:t>
      </w:r>
    </w:p>
    <w:p>
      <w:pPr>
        <w:spacing w:line="360"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根据中蒙BIT第4条规定，蒙古国对我国投资者在其领土内的投资不得采取征收、国有化或效果相当于国有化或征收的措施；特殊情况下，采取前述措施须满足“为了社会公共利益的需要”、“在非歧视性基础上”、“依照法律程序进行”、“给予补偿”四个条件。</w:t>
      </w:r>
    </w:p>
    <w:p>
      <w:pPr>
        <w:spacing w:line="360"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若特殊情况下蒙古国对我国投资者采取前述征收、国有化或类似措施的，则给予我国投资者的补偿应等于宣布征收时被征收的投资财产的价值</w:t>
      </w:r>
      <w:bookmarkStart w:id="9" w:name="No31_T4K3"/>
      <w:bookmarkEnd w:id="9"/>
      <w:r>
        <w:rPr>
          <w:rFonts w:ascii="Times New Roman" w:hAnsi="Times New Roman" w:eastAsia="仿宋" w:cs="Times New Roman"/>
          <w:sz w:val="24"/>
          <w:szCs w:val="24"/>
        </w:rPr>
        <w:t>；补偿应是可以兑换的和自由转移的；并且补偿的支付不应无故迟延。</w:t>
      </w:r>
    </w:p>
    <w:p>
      <w:pPr>
        <w:spacing w:line="360"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考察蒙古国《投资法》第6.3-6.5条规定，蒙古国境内禁止非法没收投资人资产；只因公共利益且依法给予全额补偿方可征收投资人资产；并且征收投资人资产</w:t>
      </w:r>
      <w:r>
        <w:rPr>
          <w:rFonts w:hint="eastAsia" w:ascii="Times New Roman" w:hAnsi="Times New Roman" w:eastAsia="仿宋" w:cs="Times New Roman"/>
          <w:sz w:val="24"/>
          <w:szCs w:val="24"/>
        </w:rPr>
        <w:t>应按</w:t>
      </w:r>
      <w:r>
        <w:rPr>
          <w:rFonts w:ascii="Times New Roman" w:hAnsi="Times New Roman" w:eastAsia="仿宋" w:cs="Times New Roman"/>
          <w:sz w:val="24"/>
          <w:szCs w:val="24"/>
        </w:rPr>
        <w:t>市场价进行评估并给予补偿，与中蒙BIT第4条规定基本一致。</w:t>
      </w:r>
    </w:p>
    <w:p>
      <w:pPr>
        <w:spacing w:line="360" w:lineRule="auto"/>
        <w:rPr>
          <w:rFonts w:ascii="Times New Roman" w:hAnsi="Times New Roman" w:eastAsia="仿宋" w:cs="Times New Roman"/>
          <w:sz w:val="24"/>
          <w:szCs w:val="24"/>
        </w:rPr>
      </w:pPr>
    </w:p>
    <w:p>
      <w:pPr>
        <w:pStyle w:val="3"/>
        <w:spacing w:before="0" w:after="0" w:line="360" w:lineRule="auto"/>
        <w:ind w:firstLine="482" w:firstLineChars="200"/>
        <w:rPr>
          <w:rFonts w:ascii="Times New Roman" w:hAnsi="Times New Roman" w:eastAsia="仿宋" w:cs="Times New Roman"/>
          <w:sz w:val="24"/>
          <w:szCs w:val="24"/>
        </w:rPr>
      </w:pPr>
      <w:r>
        <w:rPr>
          <w:rFonts w:ascii="Times New Roman" w:hAnsi="Times New Roman" w:eastAsia="仿宋" w:cs="Times New Roman"/>
          <w:sz w:val="24"/>
          <w:szCs w:val="24"/>
        </w:rPr>
        <w:t>（五）损失赔偿</w:t>
      </w:r>
    </w:p>
    <w:p>
      <w:pPr>
        <w:spacing w:line="360"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根据中蒙BIT第4条规定，对于我国投资者在蒙古国领土内的投资，如果由于战争、全国紧急状态、暴乱、骚乱或其他类似事件而遭受损失，若蒙古国采取有关措施，则其给予我国投资者的待遇不应低于给予任何第三国投资者的待遇。</w:t>
      </w:r>
    </w:p>
    <w:p>
      <w:pPr>
        <w:spacing w:line="360"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总体而言，蒙古国当地治安形势尚可，但在集贸市场、超市及车站等场所盗窃案时有发生；蒙古国法律规定，居民经相关部门批准并备案后可持有枪支</w:t>
      </w:r>
      <w:r>
        <w:rPr>
          <w:rStyle w:val="18"/>
          <w:rFonts w:ascii="Times New Roman" w:hAnsi="Times New Roman" w:eastAsia="仿宋" w:cs="Times New Roman"/>
          <w:sz w:val="24"/>
          <w:szCs w:val="24"/>
        </w:rPr>
        <w:footnoteReference w:id="13"/>
      </w:r>
      <w:r>
        <w:rPr>
          <w:rFonts w:ascii="Times New Roman" w:hAnsi="Times New Roman" w:eastAsia="仿宋" w:cs="Times New Roman"/>
          <w:sz w:val="24"/>
          <w:szCs w:val="24"/>
        </w:rPr>
        <w:t>。建议我国在蒙古国的投资者充分利用我国的海外投资保险制度，就战争及政治暴乱、征收、汇兑限制、政府违约等政治风险</w:t>
      </w:r>
      <w:r>
        <w:rPr>
          <w:rFonts w:hint="eastAsia" w:ascii="Times New Roman" w:hAnsi="Times New Roman" w:eastAsia="仿宋" w:cs="Times New Roman"/>
          <w:sz w:val="24"/>
          <w:szCs w:val="24"/>
        </w:rPr>
        <w:t>予以</w:t>
      </w:r>
      <w:r>
        <w:rPr>
          <w:rFonts w:ascii="Times New Roman" w:hAnsi="Times New Roman" w:eastAsia="仿宋" w:cs="Times New Roman"/>
          <w:sz w:val="24"/>
          <w:szCs w:val="24"/>
        </w:rPr>
        <w:t>投保，以确保发生政治风险事件而遭受投资损失时，可优先获得保险赔付。</w:t>
      </w:r>
    </w:p>
    <w:p>
      <w:pPr>
        <w:spacing w:line="360" w:lineRule="auto"/>
        <w:ind w:firstLine="480" w:firstLineChars="200"/>
        <w:rPr>
          <w:rFonts w:ascii="Times New Roman" w:hAnsi="Times New Roman" w:eastAsia="仿宋" w:cs="Times New Roman"/>
          <w:sz w:val="24"/>
          <w:szCs w:val="24"/>
        </w:rPr>
      </w:pPr>
    </w:p>
    <w:p>
      <w:pPr>
        <w:pStyle w:val="3"/>
        <w:spacing w:before="0" w:after="0" w:line="360" w:lineRule="auto"/>
        <w:ind w:firstLine="482" w:firstLineChars="200"/>
        <w:rPr>
          <w:rFonts w:ascii="Times New Roman" w:hAnsi="Times New Roman" w:eastAsia="仿宋" w:cs="Times New Roman"/>
          <w:sz w:val="24"/>
          <w:szCs w:val="24"/>
        </w:rPr>
      </w:pPr>
      <w:r>
        <w:rPr>
          <w:rFonts w:ascii="Times New Roman" w:hAnsi="Times New Roman" w:eastAsia="仿宋" w:cs="Times New Roman"/>
          <w:sz w:val="24"/>
          <w:szCs w:val="24"/>
        </w:rPr>
        <w:t>（六）投资有关款项的转移</w:t>
      </w:r>
    </w:p>
    <w:p>
      <w:pPr>
        <w:spacing w:line="360"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根据中蒙BIT第5条规定，蒙古国应在其法律和法规的管辖下，保证缔约国另一方投资者转移在其领土内的投资和收益，包括：</w:t>
      </w:r>
    </w:p>
    <w:p>
      <w:pPr>
        <w:spacing w:line="360"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（1）利润、股息、利息及其他合法收入；</w:t>
      </w:r>
    </w:p>
    <w:p>
      <w:pPr>
        <w:spacing w:line="360" w:lineRule="auto"/>
        <w:ind w:firstLine="480" w:firstLineChars="200"/>
        <w:rPr>
          <w:rFonts w:ascii="Times New Roman" w:hAnsi="Times New Roman" w:eastAsia="仿宋" w:cs="Times New Roman"/>
          <w:sz w:val="24"/>
          <w:szCs w:val="24"/>
        </w:rPr>
      </w:pPr>
      <w:bookmarkStart w:id="10" w:name="No33_T5K3"/>
      <w:bookmarkEnd w:id="10"/>
      <w:r>
        <w:rPr>
          <w:rFonts w:ascii="Times New Roman" w:hAnsi="Times New Roman" w:eastAsia="仿宋" w:cs="Times New Roman"/>
          <w:sz w:val="24"/>
          <w:szCs w:val="24"/>
        </w:rPr>
        <w:t>（2）投资的全部或部分清算款项；</w:t>
      </w:r>
    </w:p>
    <w:p>
      <w:pPr>
        <w:spacing w:line="360" w:lineRule="auto"/>
        <w:ind w:firstLine="480" w:firstLineChars="200"/>
        <w:rPr>
          <w:rFonts w:ascii="Times New Roman" w:hAnsi="Times New Roman" w:eastAsia="仿宋" w:cs="Times New Roman"/>
          <w:sz w:val="24"/>
          <w:szCs w:val="24"/>
        </w:rPr>
      </w:pPr>
      <w:bookmarkStart w:id="11" w:name="No34_T5K4"/>
      <w:bookmarkEnd w:id="11"/>
      <w:r>
        <w:rPr>
          <w:rFonts w:ascii="Times New Roman" w:hAnsi="Times New Roman" w:eastAsia="仿宋" w:cs="Times New Roman"/>
          <w:sz w:val="24"/>
          <w:szCs w:val="24"/>
        </w:rPr>
        <w:t>（3）与投资有关的贷款的偿还款项；</w:t>
      </w:r>
    </w:p>
    <w:p>
      <w:pPr>
        <w:spacing w:line="360" w:lineRule="auto"/>
        <w:ind w:firstLine="480" w:firstLineChars="200"/>
        <w:rPr>
          <w:rFonts w:ascii="Times New Roman" w:hAnsi="Times New Roman" w:eastAsia="仿宋" w:cs="Times New Roman"/>
          <w:sz w:val="24"/>
          <w:szCs w:val="24"/>
        </w:rPr>
      </w:pPr>
      <w:bookmarkStart w:id="12" w:name="No35_T5K5"/>
      <w:bookmarkEnd w:id="12"/>
      <w:r>
        <w:rPr>
          <w:rFonts w:ascii="Times New Roman" w:hAnsi="Times New Roman" w:eastAsia="仿宋" w:cs="Times New Roman"/>
          <w:sz w:val="24"/>
          <w:szCs w:val="24"/>
        </w:rPr>
        <w:t>（4）本协定第一条第一款第四项的提成费；</w:t>
      </w:r>
    </w:p>
    <w:p>
      <w:pPr>
        <w:spacing w:line="360" w:lineRule="auto"/>
        <w:ind w:firstLine="480" w:firstLineChars="200"/>
        <w:rPr>
          <w:rFonts w:ascii="Times New Roman" w:hAnsi="Times New Roman" w:eastAsia="仿宋" w:cs="Times New Roman"/>
          <w:sz w:val="24"/>
          <w:szCs w:val="24"/>
        </w:rPr>
      </w:pPr>
      <w:bookmarkStart w:id="13" w:name="No36_T5K6"/>
      <w:bookmarkEnd w:id="13"/>
      <w:r>
        <w:rPr>
          <w:rFonts w:ascii="Times New Roman" w:hAnsi="Times New Roman" w:eastAsia="仿宋" w:cs="Times New Roman"/>
          <w:sz w:val="24"/>
          <w:szCs w:val="24"/>
        </w:rPr>
        <w:t>（5）技术援助或技术服务费、管理费；</w:t>
      </w:r>
    </w:p>
    <w:p>
      <w:pPr>
        <w:spacing w:line="360" w:lineRule="auto"/>
        <w:ind w:firstLine="480" w:firstLineChars="200"/>
        <w:rPr>
          <w:rFonts w:ascii="Times New Roman" w:hAnsi="Times New Roman" w:eastAsia="仿宋" w:cs="Times New Roman"/>
          <w:sz w:val="24"/>
          <w:szCs w:val="24"/>
        </w:rPr>
      </w:pPr>
      <w:bookmarkStart w:id="14" w:name="No37_T5K7"/>
      <w:bookmarkEnd w:id="14"/>
      <w:r>
        <w:rPr>
          <w:rFonts w:ascii="Times New Roman" w:hAnsi="Times New Roman" w:eastAsia="仿宋" w:cs="Times New Roman"/>
          <w:sz w:val="24"/>
          <w:szCs w:val="24"/>
        </w:rPr>
        <w:t>（6）有关承包工程的支付；</w:t>
      </w:r>
    </w:p>
    <w:p>
      <w:pPr>
        <w:spacing w:line="360" w:lineRule="auto"/>
        <w:ind w:firstLine="480" w:firstLineChars="200"/>
        <w:rPr>
          <w:rFonts w:ascii="Times New Roman" w:hAnsi="Times New Roman" w:eastAsia="仿宋" w:cs="Times New Roman"/>
          <w:sz w:val="24"/>
          <w:szCs w:val="24"/>
        </w:rPr>
      </w:pPr>
      <w:bookmarkStart w:id="15" w:name="No38_T5K8"/>
      <w:bookmarkEnd w:id="15"/>
      <w:r>
        <w:rPr>
          <w:rFonts w:ascii="Times New Roman" w:hAnsi="Times New Roman" w:eastAsia="仿宋" w:cs="Times New Roman"/>
          <w:sz w:val="24"/>
          <w:szCs w:val="24"/>
        </w:rPr>
        <w:t>（7）在缔约国一方领土内从事与投资有关活动的缔约国另一方国民的收入。</w:t>
      </w:r>
    </w:p>
    <w:p>
      <w:pPr>
        <w:spacing w:line="360"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对于我国投资者依照中蒙BIT第5条所述的投资有关款项汇出，应依照转移之日蒙古国的官方汇率进行。蒙古国货币为图格里克，在蒙古国的金融机构、兑换点，可与美元、欧元、人民币互相兑换</w:t>
      </w:r>
      <w:r>
        <w:rPr>
          <w:rStyle w:val="18"/>
          <w:rFonts w:ascii="Times New Roman" w:hAnsi="Times New Roman" w:eastAsia="仿宋" w:cs="Times New Roman"/>
          <w:sz w:val="24"/>
          <w:szCs w:val="24"/>
        </w:rPr>
        <w:footnoteReference w:id="14"/>
      </w:r>
      <w:r>
        <w:rPr>
          <w:rFonts w:ascii="Times New Roman" w:hAnsi="Times New Roman" w:eastAsia="仿宋" w:cs="Times New Roman"/>
          <w:sz w:val="24"/>
          <w:szCs w:val="24"/>
        </w:rPr>
        <w:t>。</w:t>
      </w:r>
    </w:p>
    <w:p>
      <w:pPr>
        <w:spacing w:line="360" w:lineRule="auto"/>
        <w:ind w:firstLine="480" w:firstLineChars="200"/>
        <w:rPr>
          <w:rFonts w:ascii="Times New Roman" w:hAnsi="Times New Roman" w:eastAsia="仿宋" w:cs="Times New Roman"/>
          <w:sz w:val="24"/>
          <w:szCs w:val="24"/>
        </w:rPr>
      </w:pPr>
    </w:p>
    <w:p>
      <w:pPr>
        <w:pStyle w:val="3"/>
        <w:tabs>
          <w:tab w:val="left" w:pos="2688"/>
        </w:tabs>
        <w:spacing w:before="0" w:after="0" w:line="360" w:lineRule="auto"/>
        <w:ind w:firstLine="482" w:firstLineChars="200"/>
        <w:rPr>
          <w:rFonts w:ascii="Times New Roman" w:hAnsi="Times New Roman" w:eastAsia="仿宋" w:cs="Times New Roman"/>
          <w:sz w:val="24"/>
          <w:szCs w:val="24"/>
        </w:rPr>
      </w:pPr>
      <w:r>
        <w:rPr>
          <w:rFonts w:ascii="Times New Roman" w:hAnsi="Times New Roman" w:eastAsia="仿宋" w:cs="Times New Roman"/>
          <w:sz w:val="24"/>
          <w:szCs w:val="24"/>
        </w:rPr>
        <w:t>（七）投资者与东道国争议解决</w:t>
      </w:r>
    </w:p>
    <w:p>
      <w:pPr>
        <w:spacing w:line="360" w:lineRule="auto"/>
        <w:ind w:firstLine="482" w:firstLineChars="200"/>
        <w:rPr>
          <w:rFonts w:hint="eastAsia" w:ascii="Times New Roman" w:hAnsi="Times New Roman" w:eastAsia="仿宋" w:cs="Times New Roman"/>
          <w:b/>
          <w:sz w:val="24"/>
          <w:szCs w:val="24"/>
        </w:rPr>
      </w:pPr>
      <w:r>
        <w:rPr>
          <w:rFonts w:hint="eastAsia" w:ascii="Times New Roman" w:hAnsi="Times New Roman" w:eastAsia="仿宋" w:cs="Times New Roman"/>
          <w:b/>
          <w:sz w:val="24"/>
          <w:szCs w:val="24"/>
        </w:rPr>
        <w:t xml:space="preserve">1. </w:t>
      </w:r>
      <w:r>
        <w:rPr>
          <w:rFonts w:ascii="Times New Roman" w:hAnsi="Times New Roman" w:eastAsia="仿宋" w:cs="Times New Roman"/>
          <w:b/>
          <w:sz w:val="24"/>
          <w:szCs w:val="24"/>
        </w:rPr>
        <w:t>争议解决方式</w:t>
      </w:r>
    </w:p>
    <w:p>
      <w:pPr>
        <w:spacing w:line="360" w:lineRule="auto"/>
        <w:ind w:firstLine="480" w:firstLineChars="200"/>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若</w:t>
      </w:r>
      <w:r>
        <w:rPr>
          <w:rFonts w:ascii="Times New Roman" w:hAnsi="Times New Roman" w:eastAsia="仿宋" w:cs="Times New Roman"/>
          <w:sz w:val="24"/>
          <w:szCs w:val="24"/>
        </w:rPr>
        <w:t>我国投资者与蒙古国政府之间在蒙古国领土内发生与投资</w:t>
      </w:r>
      <w:r>
        <w:rPr>
          <w:rFonts w:hint="eastAsia" w:ascii="Times New Roman" w:hAnsi="Times New Roman" w:eastAsia="仿宋" w:cs="Times New Roman"/>
          <w:sz w:val="24"/>
          <w:szCs w:val="24"/>
        </w:rPr>
        <w:t>有关</w:t>
      </w:r>
      <w:r>
        <w:rPr>
          <w:rFonts w:ascii="Times New Roman" w:hAnsi="Times New Roman" w:eastAsia="仿宋" w:cs="Times New Roman"/>
          <w:sz w:val="24"/>
          <w:szCs w:val="24"/>
        </w:rPr>
        <w:t>的争议</w:t>
      </w:r>
      <w:r>
        <w:rPr>
          <w:rFonts w:hint="eastAsia" w:ascii="Times New Roman" w:hAnsi="Times New Roman" w:eastAsia="仿宋" w:cs="Times New Roman"/>
          <w:sz w:val="24"/>
          <w:szCs w:val="24"/>
        </w:rPr>
        <w:t>，</w:t>
      </w:r>
      <w:r>
        <w:rPr>
          <w:rFonts w:ascii="Times New Roman" w:hAnsi="Times New Roman" w:eastAsia="仿宋" w:cs="Times New Roman"/>
          <w:sz w:val="24"/>
          <w:szCs w:val="24"/>
        </w:rPr>
        <w:t>根据中蒙BIT第8条规定，则当事方可</w:t>
      </w:r>
      <w:r>
        <w:rPr>
          <w:rFonts w:hint="eastAsia" w:ascii="Times New Roman" w:hAnsi="Times New Roman" w:eastAsia="仿宋" w:cs="Times New Roman"/>
          <w:sz w:val="24"/>
          <w:szCs w:val="24"/>
        </w:rPr>
        <w:t>遵照</w:t>
      </w:r>
      <w:r>
        <w:rPr>
          <w:rFonts w:ascii="Times New Roman" w:hAnsi="Times New Roman" w:eastAsia="仿宋" w:cs="Times New Roman"/>
          <w:sz w:val="24"/>
          <w:szCs w:val="24"/>
        </w:rPr>
        <w:t>如下争议解决方式</w:t>
      </w:r>
      <w:r>
        <w:rPr>
          <w:rFonts w:hint="eastAsia" w:ascii="Times New Roman" w:hAnsi="Times New Roman" w:eastAsia="仿宋" w:cs="Times New Roman"/>
          <w:sz w:val="24"/>
          <w:szCs w:val="24"/>
        </w:rPr>
        <w:t>：</w:t>
      </w:r>
    </w:p>
    <w:p>
      <w:pPr>
        <w:spacing w:line="360" w:lineRule="auto"/>
        <w:ind w:firstLine="480" w:firstLineChars="200"/>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（1）前置协商机制。</w:t>
      </w:r>
      <w:r>
        <w:rPr>
          <w:rFonts w:ascii="Times New Roman" w:hAnsi="Times New Roman" w:eastAsia="仿宋" w:cs="Times New Roman"/>
          <w:sz w:val="24"/>
          <w:szCs w:val="24"/>
        </w:rPr>
        <w:t>我国投资者与蒙古国政府之间发生的在蒙古国领土内的投资产生的争议应尽量由双方友好协商解决</w:t>
      </w:r>
      <w:r>
        <w:rPr>
          <w:rFonts w:hint="eastAsia" w:ascii="Times New Roman" w:hAnsi="Times New Roman" w:eastAsia="仿宋" w:cs="Times New Roman"/>
          <w:sz w:val="24"/>
          <w:szCs w:val="24"/>
        </w:rPr>
        <w:t>。</w:t>
      </w:r>
    </w:p>
    <w:p>
      <w:pPr>
        <w:spacing w:line="360" w:lineRule="auto"/>
        <w:ind w:firstLine="480" w:firstLineChars="200"/>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（2）东道国国内法院管辖。</w:t>
      </w:r>
      <w:r>
        <w:rPr>
          <w:rFonts w:ascii="Times New Roman" w:hAnsi="Times New Roman" w:eastAsia="仿宋" w:cs="Times New Roman"/>
          <w:sz w:val="24"/>
          <w:szCs w:val="24"/>
        </w:rPr>
        <w:t>如争议在六个月内未能协商解决，当事任何一方均有权将争议提交蒙古国有管辖权的法院</w:t>
      </w:r>
      <w:r>
        <w:rPr>
          <w:rFonts w:hint="eastAsia" w:ascii="Times New Roman" w:hAnsi="Times New Roman" w:eastAsia="仿宋" w:cs="Times New Roman"/>
          <w:sz w:val="24"/>
          <w:szCs w:val="24"/>
        </w:rPr>
        <w:t>。</w:t>
      </w:r>
    </w:p>
    <w:p>
      <w:pPr>
        <w:spacing w:line="360" w:lineRule="auto"/>
        <w:ind w:firstLine="480" w:firstLineChars="200"/>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（3）可提交AD HOC仲裁的争议类型。</w:t>
      </w:r>
      <w:r>
        <w:rPr>
          <w:rFonts w:hint="eastAsia" w:ascii="Times New Roman" w:hAnsi="Times New Roman" w:eastAsia="仿宋" w:cs="Times New Roman"/>
          <w:sz w:val="24"/>
          <w:szCs w:val="24"/>
          <w:lang w:val="en-US" w:eastAsia="zh-CN"/>
        </w:rPr>
        <w:t>若</w:t>
      </w:r>
      <w:r>
        <w:rPr>
          <w:rFonts w:ascii="Times New Roman" w:hAnsi="Times New Roman" w:eastAsia="仿宋" w:cs="Times New Roman"/>
          <w:sz w:val="24"/>
          <w:szCs w:val="24"/>
        </w:rPr>
        <w:t>涉及征收补偿款额的争议，六个月协商期后，当事任何一方均有权将争议提交至专设仲裁庭，但对于已提交蒙古国国内法院的争议，则不得再提交至专设仲裁庭。</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highlight w:val="none"/>
        </w:rPr>
        <w:t>鉴于</w:t>
      </w:r>
      <w:r>
        <w:rPr>
          <w:rFonts w:ascii="Times New Roman" w:hAnsi="Times New Roman" w:eastAsia="仿宋" w:cs="Times New Roman"/>
          <w:sz w:val="24"/>
          <w:szCs w:val="24"/>
          <w:highlight w:val="none"/>
        </w:rPr>
        <w:t>中蒙BIT第8条下可提交仲裁的范围仅限于涉及征收补偿款额的争议</w:t>
      </w:r>
      <w:r>
        <w:rPr>
          <w:rFonts w:hint="eastAsia" w:ascii="Times New Roman" w:hAnsi="Times New Roman" w:eastAsia="仿宋" w:cs="Times New Roman"/>
          <w:sz w:val="24"/>
          <w:szCs w:val="24"/>
          <w:highlight w:val="none"/>
        </w:rPr>
        <w:t>，</w:t>
      </w:r>
      <w:r>
        <w:rPr>
          <w:rFonts w:hint="eastAsia" w:ascii="Times New Roman" w:hAnsi="Times New Roman" w:eastAsia="仿宋" w:cs="Times New Roman"/>
          <w:sz w:val="24"/>
          <w:szCs w:val="24"/>
        </w:rPr>
        <w:t>若</w:t>
      </w:r>
      <w:r>
        <w:rPr>
          <w:rFonts w:hint="eastAsia" w:ascii="Times New Roman" w:hAnsi="Times New Roman" w:eastAsia="仿宋" w:cs="Times New Roman"/>
          <w:sz w:val="24"/>
          <w:szCs w:val="24"/>
          <w:highlight w:val="none"/>
        </w:rPr>
        <w:t>发生相关争议时，建议我国投资者</w:t>
      </w:r>
      <w:r>
        <w:rPr>
          <w:rFonts w:hint="eastAsia" w:ascii="Times New Roman" w:hAnsi="Times New Roman" w:eastAsia="仿宋" w:cs="Times New Roman"/>
          <w:sz w:val="24"/>
          <w:szCs w:val="24"/>
        </w:rPr>
        <w:t>在案件准备时，将征收补偿款额有关的争议与征收行为合法性的争议予以</w:t>
      </w:r>
      <w:r>
        <w:rPr>
          <w:rFonts w:hint="eastAsia" w:ascii="Times New Roman" w:hAnsi="Times New Roman" w:eastAsia="仿宋" w:cs="Times New Roman"/>
          <w:sz w:val="24"/>
          <w:szCs w:val="24"/>
          <w:highlight w:val="none"/>
        </w:rPr>
        <w:t>分拆，</w:t>
      </w:r>
      <w:r>
        <w:rPr>
          <w:rFonts w:hint="eastAsia" w:ascii="Times New Roman" w:hAnsi="Times New Roman" w:eastAsia="仿宋" w:cs="Times New Roman"/>
          <w:sz w:val="24"/>
          <w:szCs w:val="24"/>
        </w:rPr>
        <w:t>以便专设仲裁庭可顺利获得对争议的管辖权。</w:t>
      </w:r>
    </w:p>
    <w:p>
      <w:pPr>
        <w:spacing w:line="360" w:lineRule="auto"/>
        <w:ind w:firstLine="482" w:firstLineChars="200"/>
        <w:rPr>
          <w:rFonts w:hint="eastAsia" w:ascii="Times New Roman" w:hAnsi="Times New Roman" w:eastAsia="仿宋" w:cs="Times New Roman"/>
          <w:b/>
          <w:sz w:val="24"/>
          <w:szCs w:val="24"/>
        </w:rPr>
      </w:pPr>
      <w:r>
        <w:rPr>
          <w:rFonts w:hint="eastAsia" w:ascii="Times New Roman" w:hAnsi="Times New Roman" w:eastAsia="仿宋" w:cs="Times New Roman"/>
          <w:b/>
          <w:sz w:val="24"/>
          <w:szCs w:val="24"/>
        </w:rPr>
        <w:t>2. 关于仲裁的程序性规定</w:t>
      </w:r>
    </w:p>
    <w:p>
      <w:pPr>
        <w:spacing w:line="360"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专设仲裁庭应按下列方式逐案设立：</w:t>
      </w:r>
    </w:p>
    <w:p>
      <w:pPr>
        <w:spacing w:line="360"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1）争议双方应各任命一名仲裁员，该两名仲裁员推举一名与中蒙双方均有外交关系的第三国国民为首席仲裁员；头两名仲裁员应在争议任何一方书面通知另一方提出仲裁后的两个月内任命，首席仲裁员应在四个月内推选。</w:t>
      </w:r>
    </w:p>
    <w:p>
      <w:pPr>
        <w:spacing w:line="360"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（2）如在前述规定的期限内，仲裁庭尚未组成，争议任何一方可提请解决投资争端国际中心秘书长作出必要的委任。</w:t>
      </w:r>
    </w:p>
    <w:p>
      <w:pPr>
        <w:spacing w:line="360" w:lineRule="auto"/>
        <w:ind w:firstLine="480" w:firstLineChars="200"/>
        <w:rPr>
          <w:rFonts w:ascii="Times New Roman" w:hAnsi="Times New Roman" w:eastAsia="仿宋" w:cs="Times New Roman"/>
          <w:sz w:val="24"/>
          <w:szCs w:val="24"/>
        </w:rPr>
      </w:pPr>
      <w:bookmarkStart w:id="16" w:name="No56_T9K3"/>
      <w:bookmarkEnd w:id="16"/>
      <w:r>
        <w:rPr>
          <w:rFonts w:ascii="Times New Roman" w:hAnsi="Times New Roman" w:eastAsia="仿宋" w:cs="Times New Roman"/>
          <w:sz w:val="24"/>
          <w:szCs w:val="24"/>
        </w:rPr>
        <w:t>仲裁庭应自行制定其程序，在制定程序时仲裁庭可以参照解决投资争端国际中心仲裁规则；</w:t>
      </w:r>
      <w:bookmarkStart w:id="17" w:name="No57_T9K4"/>
      <w:bookmarkEnd w:id="17"/>
      <w:bookmarkStart w:id="18" w:name="No58_T9K5"/>
      <w:bookmarkEnd w:id="18"/>
      <w:r>
        <w:rPr>
          <w:rFonts w:ascii="Times New Roman" w:hAnsi="Times New Roman" w:eastAsia="仿宋" w:cs="Times New Roman"/>
          <w:sz w:val="24"/>
          <w:szCs w:val="24"/>
        </w:rPr>
        <w:t>仲裁庭应根据蒙古国的法律（包括其冲突法规则）、中蒙BIT的规定以及中蒙双方均接受的普遍承认的国际法原则作出裁决。</w:t>
      </w:r>
    </w:p>
    <w:p>
      <w:pPr>
        <w:spacing w:line="360" w:lineRule="auto"/>
        <w:ind w:firstLine="480" w:firstLineChars="200"/>
        <w:rPr>
          <w:rFonts w:ascii="Times New Roman" w:hAnsi="Times New Roman" w:eastAsia="仿宋" w:cs="Times New Roman"/>
          <w:sz w:val="24"/>
          <w:szCs w:val="24"/>
        </w:rPr>
      </w:pPr>
      <w:bookmarkStart w:id="19" w:name="No59_T9K6"/>
      <w:bookmarkEnd w:id="19"/>
      <w:r>
        <w:rPr>
          <w:rFonts w:ascii="Times New Roman" w:hAnsi="Times New Roman" w:eastAsia="仿宋" w:cs="Times New Roman"/>
          <w:sz w:val="24"/>
          <w:szCs w:val="24"/>
        </w:rPr>
        <w:t>仲裁庭的裁决以多数票作出。裁决是终局的，对争议双方具有拘束力。中国或蒙古国根据各自的法律应对强制执行仲裁庭裁决承担义务。</w:t>
      </w:r>
    </w:p>
    <w:p>
      <w:pPr>
        <w:spacing w:line="360" w:lineRule="auto"/>
        <w:ind w:firstLine="480" w:firstLineChars="200"/>
        <w:rPr>
          <w:rFonts w:ascii="Times New Roman" w:hAnsi="Times New Roman" w:eastAsia="仿宋" w:cs="Times New Roman"/>
          <w:sz w:val="24"/>
          <w:szCs w:val="24"/>
        </w:rPr>
      </w:pPr>
    </w:p>
    <w:p>
      <w:pPr>
        <w:pStyle w:val="2"/>
        <w:numPr>
          <w:ilvl w:val="0"/>
          <w:numId w:val="1"/>
        </w:numPr>
        <w:spacing w:before="0" w:after="0" w:line="360" w:lineRule="auto"/>
        <w:jc w:val="left"/>
        <w:rPr>
          <w:rFonts w:ascii="Times New Roman" w:hAnsi="Times New Roman" w:eastAsia="仿宋" w:cs="Times New Roman"/>
          <w:sz w:val="24"/>
          <w:szCs w:val="24"/>
        </w:rPr>
      </w:pPr>
      <w:r>
        <w:rPr>
          <w:rFonts w:ascii="Times New Roman" w:hAnsi="Times New Roman" w:eastAsia="仿宋" w:cs="Times New Roman"/>
          <w:sz w:val="24"/>
          <w:szCs w:val="24"/>
        </w:rPr>
        <w:t>蒙古国在ICSID的仲裁案件</w:t>
      </w:r>
    </w:p>
    <w:p>
      <w:pPr>
        <w:spacing w:line="360"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截至2019年11月18日，蒙古国作为被申请人在ICSID仅有一起案件，即</w:t>
      </w:r>
      <w:r>
        <w:rPr>
          <w:rFonts w:ascii="Times New Roman" w:hAnsi="Times New Roman" w:eastAsia="仿宋" w:cs="Times New Roman"/>
          <w:bCs/>
          <w:sz w:val="24"/>
          <w:szCs w:val="24"/>
        </w:rPr>
        <w:t>Alstom Power Italia SpA a</w:t>
      </w:r>
      <w:r>
        <w:rPr>
          <w:rFonts w:ascii="Times New Roman" w:hAnsi="Times New Roman" w:eastAsia="仿宋" w:cs="Times New Roman"/>
          <w:sz w:val="24"/>
          <w:szCs w:val="24"/>
        </w:rPr>
        <w:t>nd Alstom SpA v. Republic of Mongolia案</w:t>
      </w:r>
      <w:r>
        <w:rPr>
          <w:rStyle w:val="18"/>
          <w:rFonts w:ascii="Times New Roman" w:hAnsi="Times New Roman" w:eastAsia="仿宋" w:cs="Times New Roman"/>
          <w:sz w:val="24"/>
          <w:szCs w:val="24"/>
        </w:rPr>
        <w:footnoteReference w:id="15"/>
      </w:r>
      <w:r>
        <w:rPr>
          <w:rFonts w:ascii="Times New Roman" w:hAnsi="Times New Roman" w:eastAsia="仿宋" w:cs="Times New Roman"/>
          <w:sz w:val="24"/>
          <w:szCs w:val="24"/>
        </w:rPr>
        <w:t>（以下简称“</w:t>
      </w:r>
      <w:r>
        <w:rPr>
          <w:rFonts w:ascii="Times New Roman" w:hAnsi="Times New Roman" w:eastAsia="仿宋" w:cs="Times New Roman"/>
          <w:b/>
          <w:sz w:val="24"/>
          <w:szCs w:val="24"/>
        </w:rPr>
        <w:t>Alstom诉蒙古国案</w:t>
      </w:r>
      <w:r>
        <w:rPr>
          <w:rFonts w:ascii="Times New Roman" w:hAnsi="Times New Roman" w:eastAsia="仿宋" w:cs="Times New Roman"/>
          <w:sz w:val="24"/>
          <w:szCs w:val="24"/>
        </w:rPr>
        <w:t>”），为依据1993年意大利—蒙古国BIT及1994年《能源宪章条约》提起的仲裁案件。</w:t>
      </w:r>
    </w:p>
    <w:p>
      <w:pPr>
        <w:spacing w:line="360"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Alstom诉蒙古国案</w:t>
      </w:r>
      <w:r>
        <w:rPr>
          <w:rFonts w:hint="eastAsia" w:ascii="Times New Roman" w:hAnsi="Times New Roman" w:eastAsia="仿宋" w:cs="Times New Roman"/>
          <w:sz w:val="24"/>
          <w:szCs w:val="24"/>
        </w:rPr>
        <w:t>，系</w:t>
      </w:r>
      <w:r>
        <w:rPr>
          <w:rFonts w:ascii="Times New Roman" w:hAnsi="Times New Roman" w:eastAsia="仿宋" w:cs="Times New Roman"/>
          <w:sz w:val="24"/>
          <w:szCs w:val="24"/>
        </w:rPr>
        <w:t>由Alstom SpA</w:t>
      </w:r>
      <w:r>
        <w:rPr>
          <w:rFonts w:hint="eastAsia" w:ascii="Times New Roman" w:hAnsi="Times New Roman" w:eastAsia="仿宋" w:cs="Times New Roman"/>
          <w:sz w:val="24"/>
          <w:szCs w:val="24"/>
        </w:rPr>
        <w:t>（</w:t>
      </w:r>
      <w:r>
        <w:rPr>
          <w:rFonts w:ascii="Times New Roman" w:hAnsi="Times New Roman" w:eastAsia="仿宋" w:cs="Times New Roman"/>
          <w:sz w:val="24"/>
          <w:szCs w:val="24"/>
        </w:rPr>
        <w:t>一家法国电力公司</w:t>
      </w:r>
      <w:r>
        <w:rPr>
          <w:rFonts w:hint="eastAsia" w:ascii="Times New Roman" w:hAnsi="Times New Roman" w:eastAsia="仿宋" w:cs="Times New Roman"/>
          <w:sz w:val="24"/>
          <w:szCs w:val="24"/>
        </w:rPr>
        <w:t>）</w:t>
      </w:r>
      <w:r>
        <w:rPr>
          <w:rFonts w:ascii="Times New Roman" w:hAnsi="Times New Roman" w:eastAsia="仿宋" w:cs="Times New Roman"/>
          <w:sz w:val="24"/>
          <w:szCs w:val="24"/>
        </w:rPr>
        <w:t>及其意大利子公司Alstom Power Italia SpA（以下统称为“</w:t>
      </w:r>
      <w:r>
        <w:rPr>
          <w:rFonts w:ascii="Times New Roman" w:hAnsi="Times New Roman" w:eastAsia="仿宋" w:cs="Times New Roman"/>
          <w:b/>
          <w:sz w:val="24"/>
          <w:szCs w:val="24"/>
        </w:rPr>
        <w:t>Alstom</w:t>
      </w:r>
      <w:r>
        <w:rPr>
          <w:rFonts w:ascii="Times New Roman" w:hAnsi="Times New Roman" w:eastAsia="仿宋" w:cs="Times New Roman"/>
          <w:sz w:val="24"/>
          <w:szCs w:val="24"/>
        </w:rPr>
        <w:t>”）对蒙古国政府提起</w:t>
      </w:r>
      <w:r>
        <w:rPr>
          <w:rFonts w:hint="eastAsia" w:ascii="Times New Roman" w:hAnsi="Times New Roman" w:eastAsia="仿宋" w:cs="Times New Roman"/>
          <w:sz w:val="24"/>
          <w:szCs w:val="24"/>
        </w:rPr>
        <w:t>的</w:t>
      </w:r>
      <w:r>
        <w:rPr>
          <w:rFonts w:ascii="Times New Roman" w:hAnsi="Times New Roman" w:eastAsia="仿宋" w:cs="Times New Roman"/>
          <w:sz w:val="24"/>
          <w:szCs w:val="24"/>
        </w:rPr>
        <w:t>仲裁</w:t>
      </w:r>
      <w:r>
        <w:rPr>
          <w:rFonts w:hint="eastAsia" w:ascii="Times New Roman" w:hAnsi="Times New Roman" w:eastAsia="仿宋" w:cs="Times New Roman"/>
          <w:sz w:val="24"/>
          <w:szCs w:val="24"/>
        </w:rPr>
        <w:t>。</w:t>
      </w:r>
      <w:r>
        <w:rPr>
          <w:rFonts w:ascii="Times New Roman" w:hAnsi="Times New Roman" w:eastAsia="仿宋" w:cs="Times New Roman"/>
          <w:sz w:val="24"/>
          <w:szCs w:val="24"/>
        </w:rPr>
        <w:t>Alstom与蒙古国地方政府就为乌兰巴托的一个热力发电站的整修项目订立了工程承包合同；其后，Alstom与蒙古国地方政府就关于发电站的锅炉改造工程产生了争端。</w:t>
      </w:r>
    </w:p>
    <w:p>
      <w:pPr>
        <w:spacing w:line="360"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2003年12月23日，Alstom根据</w:t>
      </w:r>
      <w:r>
        <w:rPr>
          <w:rFonts w:hint="eastAsia" w:ascii="Times New Roman" w:hAnsi="Times New Roman" w:eastAsia="仿宋" w:cs="Times New Roman"/>
          <w:sz w:val="24"/>
          <w:szCs w:val="24"/>
        </w:rPr>
        <w:t>1993年</w:t>
      </w:r>
      <w:r>
        <w:rPr>
          <w:rFonts w:ascii="Times New Roman" w:hAnsi="Times New Roman" w:eastAsia="仿宋" w:cs="Times New Roman"/>
          <w:sz w:val="24"/>
          <w:szCs w:val="24"/>
        </w:rPr>
        <w:t>意大利-蒙古国BIT</w:t>
      </w:r>
      <w:r>
        <w:rPr>
          <w:rFonts w:hint="eastAsia" w:ascii="Times New Roman" w:hAnsi="Times New Roman" w:eastAsia="仿宋" w:cs="Times New Roman"/>
          <w:sz w:val="24"/>
          <w:szCs w:val="24"/>
          <w:lang w:val="en-US" w:eastAsia="zh-CN"/>
        </w:rPr>
        <w:t>和</w:t>
      </w:r>
      <w:r>
        <w:rPr>
          <w:rFonts w:hint="eastAsia" w:ascii="Times New Roman" w:hAnsi="Times New Roman" w:eastAsia="仿宋" w:cs="Times New Roman"/>
          <w:sz w:val="24"/>
          <w:szCs w:val="24"/>
        </w:rPr>
        <w:t>1994年《</w:t>
      </w:r>
      <w:r>
        <w:rPr>
          <w:rFonts w:ascii="Times New Roman" w:hAnsi="Times New Roman" w:eastAsia="仿宋" w:cs="Times New Roman"/>
          <w:sz w:val="24"/>
          <w:szCs w:val="24"/>
        </w:rPr>
        <w:t>能源宪章条约</w:t>
      </w:r>
      <w:r>
        <w:rPr>
          <w:rFonts w:hint="eastAsia" w:ascii="Times New Roman" w:hAnsi="Times New Roman" w:eastAsia="仿宋" w:cs="Times New Roman"/>
          <w:sz w:val="24"/>
          <w:szCs w:val="24"/>
        </w:rPr>
        <w:t>》（</w:t>
      </w:r>
      <w:r>
        <w:rPr>
          <w:rFonts w:ascii="Times New Roman" w:hAnsi="Times New Roman" w:eastAsia="仿宋" w:cs="Times New Roman"/>
          <w:sz w:val="24"/>
          <w:szCs w:val="24"/>
        </w:rPr>
        <w:t>ECT</w:t>
      </w:r>
      <w:r>
        <w:rPr>
          <w:rFonts w:hint="eastAsia" w:ascii="Times New Roman" w:hAnsi="Times New Roman" w:eastAsia="仿宋" w:cs="Times New Roman"/>
          <w:sz w:val="24"/>
          <w:szCs w:val="24"/>
        </w:rPr>
        <w:t>）</w:t>
      </w:r>
      <w:r>
        <w:rPr>
          <w:rFonts w:ascii="Times New Roman" w:hAnsi="Times New Roman" w:eastAsia="仿宋" w:cs="Times New Roman"/>
          <w:sz w:val="24"/>
          <w:szCs w:val="24"/>
        </w:rPr>
        <w:t>第26（4）</w:t>
      </w:r>
      <w:r>
        <w:rPr>
          <w:rFonts w:hint="eastAsia" w:ascii="Times New Roman" w:hAnsi="Times New Roman" w:eastAsia="仿宋" w:cs="Times New Roman"/>
          <w:sz w:val="24"/>
          <w:szCs w:val="24"/>
        </w:rPr>
        <w:t>（a）</w:t>
      </w:r>
      <w:r>
        <w:rPr>
          <w:rStyle w:val="18"/>
          <w:rFonts w:ascii="Times New Roman" w:hAnsi="Times New Roman" w:eastAsia="仿宋" w:cs="Times New Roman"/>
          <w:sz w:val="24"/>
          <w:szCs w:val="24"/>
        </w:rPr>
        <w:footnoteReference w:id="16"/>
      </w:r>
      <w:r>
        <w:rPr>
          <w:rFonts w:ascii="Times New Roman" w:hAnsi="Times New Roman" w:eastAsia="仿宋" w:cs="Times New Roman"/>
          <w:sz w:val="24"/>
          <w:szCs w:val="24"/>
        </w:rPr>
        <w:t>向ICSID</w:t>
      </w:r>
      <w:r>
        <w:rPr>
          <w:rFonts w:hint="eastAsia" w:ascii="Times New Roman" w:hAnsi="Times New Roman" w:eastAsia="仿宋" w:cs="Times New Roman"/>
          <w:sz w:val="24"/>
          <w:szCs w:val="24"/>
        </w:rPr>
        <w:t>提</w:t>
      </w:r>
      <w:r>
        <w:rPr>
          <w:rFonts w:ascii="Times New Roman" w:hAnsi="Times New Roman" w:eastAsia="仿宋" w:cs="Times New Roman"/>
          <w:sz w:val="24"/>
          <w:szCs w:val="24"/>
        </w:rPr>
        <w:t>出仲裁申请；2004年3月18日，ICSID秘书处登记了该案件；2004年9月8日，仲裁庭由首席仲裁员加拿大公民Marc Lalonde，以及分别为法国公民和澳大利亚公民的仲裁员Jan Paulsson和Anthony Mason组成；2002年12月2日，仲裁庭通过电话会议进行了第一次开庭。</w:t>
      </w:r>
    </w:p>
    <w:p>
      <w:pPr>
        <w:spacing w:line="360"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2006年6月13日，双方达成和解，仲裁程序在双方的要求下终止。但至今尚无任何更多关于该案的公开详细信息。</w:t>
      </w:r>
    </w:p>
    <w:p>
      <w:pPr>
        <w:spacing w:line="360" w:lineRule="auto"/>
        <w:ind w:firstLine="480" w:firstLineChars="200"/>
        <w:rPr>
          <w:rFonts w:ascii="Times New Roman" w:hAnsi="Times New Roman" w:eastAsia="仿宋" w:cs="Times New Roman"/>
          <w:sz w:val="24"/>
          <w:szCs w:val="24"/>
        </w:rPr>
      </w:pPr>
    </w:p>
    <w:p>
      <w:pPr>
        <w:pStyle w:val="2"/>
        <w:numPr>
          <w:ilvl w:val="0"/>
          <w:numId w:val="1"/>
        </w:numPr>
        <w:spacing w:before="0" w:after="0" w:line="360" w:lineRule="auto"/>
        <w:ind w:left="826" w:hanging="826" w:hangingChars="343"/>
        <w:jc w:val="left"/>
        <w:rPr>
          <w:rFonts w:ascii="Times New Roman" w:hAnsi="Times New Roman" w:eastAsia="仿宋" w:cs="Times New Roman"/>
          <w:sz w:val="24"/>
          <w:szCs w:val="24"/>
        </w:rPr>
      </w:pPr>
      <w:r>
        <w:rPr>
          <w:rFonts w:ascii="Times New Roman" w:hAnsi="Times New Roman" w:eastAsia="仿宋" w:cs="Times New Roman"/>
          <w:sz w:val="24"/>
          <w:szCs w:val="24"/>
        </w:rPr>
        <w:t>黑龙江国际经济技术合作公司等诉蒙古国案</w:t>
      </w:r>
    </w:p>
    <w:p>
      <w:pPr>
        <w:spacing w:line="360" w:lineRule="auto"/>
        <w:ind w:firstLine="482" w:firstLineChars="200"/>
        <w:rPr>
          <w:rFonts w:ascii="Times New Roman" w:hAnsi="Times New Roman" w:eastAsia="仿宋" w:cs="Times New Roman"/>
          <w:b/>
          <w:sz w:val="24"/>
          <w:szCs w:val="24"/>
        </w:rPr>
      </w:pPr>
      <w:r>
        <w:rPr>
          <w:rFonts w:ascii="Times New Roman" w:hAnsi="Times New Roman" w:eastAsia="仿宋" w:cs="Times New Roman"/>
          <w:b/>
          <w:sz w:val="24"/>
          <w:szCs w:val="24"/>
        </w:rPr>
        <w:t>1.</w:t>
      </w:r>
      <w:r>
        <w:rPr>
          <w:rFonts w:ascii="Times New Roman" w:hAnsi="Times New Roman" w:eastAsia="仿宋" w:cs="Times New Roman"/>
          <w:b/>
          <w:sz w:val="24"/>
          <w:szCs w:val="24"/>
        </w:rPr>
        <w:tab/>
      </w:r>
      <w:r>
        <w:rPr>
          <w:rFonts w:ascii="Times New Roman" w:hAnsi="Times New Roman" w:eastAsia="仿宋" w:cs="Times New Roman"/>
          <w:b/>
          <w:sz w:val="24"/>
          <w:szCs w:val="24"/>
        </w:rPr>
        <w:t>案件背景</w:t>
      </w:r>
    </w:p>
    <w:p>
      <w:pPr>
        <w:spacing w:line="360"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Beijing Shougang Mining Investment Company Ltd., China Heilongjiang International Economic &amp; Technical Cooperative Corp., and Qinhuangdaoshi Qinlong International Industrial Co. Ltd. v. Mongolia</w:t>
      </w:r>
      <w:r>
        <w:rPr>
          <w:rStyle w:val="18"/>
          <w:rFonts w:ascii="Times New Roman" w:hAnsi="Times New Roman" w:eastAsia="仿宋" w:cs="Times New Roman"/>
          <w:sz w:val="24"/>
          <w:szCs w:val="24"/>
        </w:rPr>
        <w:footnoteReference w:id="17"/>
      </w:r>
      <w:r>
        <w:rPr>
          <w:rFonts w:ascii="Times New Roman" w:hAnsi="Times New Roman" w:eastAsia="仿宋" w:cs="Times New Roman"/>
          <w:sz w:val="24"/>
          <w:szCs w:val="24"/>
        </w:rPr>
        <w:t>（以下简称“</w:t>
      </w:r>
      <w:r>
        <w:rPr>
          <w:rFonts w:ascii="Times New Roman" w:hAnsi="Times New Roman" w:eastAsia="仿宋" w:cs="Times New Roman"/>
          <w:b/>
          <w:sz w:val="24"/>
          <w:szCs w:val="24"/>
        </w:rPr>
        <w:t>黑龙江国际经济技术合作公司等诉蒙古国案</w:t>
      </w:r>
      <w:r>
        <w:rPr>
          <w:rFonts w:ascii="Times New Roman" w:hAnsi="Times New Roman" w:eastAsia="仿宋" w:cs="Times New Roman"/>
          <w:sz w:val="24"/>
          <w:szCs w:val="24"/>
        </w:rPr>
        <w:t>”）一案为适用《联合国国际贸易法委员会仲裁规则》（</w:t>
      </w:r>
      <w:r>
        <w:rPr>
          <w:rFonts w:ascii="Times New Roman" w:hAnsi="Times New Roman" w:eastAsia="仿宋" w:cs="Times New Roman"/>
          <w:bCs/>
          <w:sz w:val="24"/>
          <w:szCs w:val="24"/>
        </w:rPr>
        <w:t>UNCITRAL Arbitration Rules</w:t>
      </w:r>
      <w:r>
        <w:rPr>
          <w:rFonts w:ascii="Times New Roman" w:hAnsi="Times New Roman" w:eastAsia="仿宋" w:cs="Times New Roman"/>
          <w:sz w:val="24"/>
          <w:szCs w:val="24"/>
        </w:rPr>
        <w:t>）的仲裁案件，申请人为黑龙江国际经济技术合作有限公司、北京首钢矿业投资有限公司、秦皇岛秦龙国际实业有限公司等三家中国企业（以下统称为“</w:t>
      </w:r>
      <w:r>
        <w:rPr>
          <w:rFonts w:ascii="Times New Roman" w:hAnsi="Times New Roman" w:eastAsia="仿宋" w:cs="Times New Roman"/>
          <w:b/>
          <w:sz w:val="24"/>
          <w:szCs w:val="24"/>
        </w:rPr>
        <w:t>申请人</w:t>
      </w:r>
      <w:r>
        <w:rPr>
          <w:rFonts w:ascii="Times New Roman" w:hAnsi="Times New Roman" w:eastAsia="仿宋" w:cs="Times New Roman"/>
          <w:sz w:val="24"/>
          <w:szCs w:val="24"/>
        </w:rPr>
        <w:t>”），被申请人为蒙古国政府。</w:t>
      </w:r>
    </w:p>
    <w:p>
      <w:pPr>
        <w:spacing w:line="360"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申请人在蒙古国境内与蒙古国一家名为BLT的公司合资成立了项目公司Tumurtei Khunder LLC（以下简称“</w:t>
      </w:r>
      <w:r>
        <w:rPr>
          <w:rFonts w:ascii="Times New Roman" w:hAnsi="Times New Roman" w:eastAsia="仿宋" w:cs="Times New Roman"/>
          <w:b/>
          <w:sz w:val="24"/>
          <w:szCs w:val="24"/>
        </w:rPr>
        <w:t>项目公司</w:t>
      </w:r>
      <w:r>
        <w:rPr>
          <w:rFonts w:ascii="Times New Roman" w:hAnsi="Times New Roman" w:eastAsia="仿宋" w:cs="Times New Roman"/>
          <w:sz w:val="24"/>
          <w:szCs w:val="24"/>
        </w:rPr>
        <w:t>”），其中申请人合计持股70%，BLT持股30%；经BLT转让，项目公司取得采矿许可证（939A License）；2006年5月开始，蒙古国政府启动对BLT</w:t>
      </w:r>
      <w:r>
        <w:rPr>
          <w:rFonts w:hint="eastAsia" w:ascii="Times New Roman" w:hAnsi="Times New Roman" w:eastAsia="仿宋" w:cs="Times New Roman"/>
          <w:sz w:val="24"/>
          <w:szCs w:val="24"/>
        </w:rPr>
        <w:t>及相关人员</w:t>
      </w:r>
      <w:r>
        <w:rPr>
          <w:rFonts w:ascii="Times New Roman" w:hAnsi="Times New Roman" w:eastAsia="仿宋" w:cs="Times New Roman"/>
          <w:sz w:val="24"/>
          <w:szCs w:val="24"/>
        </w:rPr>
        <w:t>获取采矿许可证及采矿权的一系列刑事调查程序；2006年9月8日，项目公司的采矿许可证被蒙古国政府吊销；2006年9月开始至2010年，合资公司在蒙古国国内法院进行了一系列诉讼，但均以失败告终。</w:t>
      </w:r>
    </w:p>
    <w:p>
      <w:pPr>
        <w:spacing w:line="360"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2010年1月，申请人就其与蒙古国政府的矿业投资争端，请求常设仲裁法院（PCA）依照《联合国贸易法委员会仲裁规则》设立专设仲裁庭。申请人认为，蒙古国政府撤销其采矿许可证的行为违反了1991年中蒙BIT和蒙古国</w:t>
      </w:r>
      <w:r>
        <w:rPr>
          <w:rFonts w:hint="eastAsia" w:ascii="Times New Roman" w:hAnsi="Times New Roman" w:eastAsia="仿宋" w:cs="Times New Roman"/>
          <w:sz w:val="24"/>
          <w:szCs w:val="24"/>
        </w:rPr>
        <w:t>相关</w:t>
      </w:r>
      <w:r>
        <w:rPr>
          <w:rFonts w:ascii="Times New Roman" w:hAnsi="Times New Roman" w:eastAsia="仿宋" w:cs="Times New Roman"/>
          <w:sz w:val="24"/>
          <w:szCs w:val="24"/>
        </w:rPr>
        <w:t>外资法律。</w:t>
      </w:r>
    </w:p>
    <w:p>
      <w:pPr>
        <w:spacing w:line="360" w:lineRule="auto"/>
        <w:ind w:firstLine="482" w:firstLineChars="200"/>
        <w:rPr>
          <w:rFonts w:ascii="Times New Roman" w:hAnsi="Times New Roman" w:eastAsia="仿宋" w:cs="Times New Roman"/>
          <w:b/>
          <w:sz w:val="24"/>
          <w:szCs w:val="24"/>
        </w:rPr>
      </w:pPr>
      <w:r>
        <w:rPr>
          <w:rFonts w:ascii="Times New Roman" w:hAnsi="Times New Roman" w:eastAsia="仿宋" w:cs="Times New Roman"/>
          <w:b/>
          <w:sz w:val="24"/>
          <w:szCs w:val="24"/>
        </w:rPr>
        <w:t>2. 争议焦点及仲裁庭意见</w:t>
      </w:r>
    </w:p>
    <w:p>
      <w:pPr>
        <w:spacing w:line="360"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本案的争议焦点</w:t>
      </w:r>
      <w:r>
        <w:rPr>
          <w:rFonts w:hint="eastAsia" w:ascii="Times New Roman" w:hAnsi="Times New Roman" w:eastAsia="仿宋" w:cs="Times New Roman"/>
          <w:sz w:val="24"/>
          <w:szCs w:val="24"/>
        </w:rPr>
        <w:t>涉及</w:t>
      </w:r>
      <w:r>
        <w:rPr>
          <w:rFonts w:ascii="Times New Roman" w:hAnsi="Times New Roman" w:eastAsia="仿宋" w:cs="Times New Roman"/>
          <w:sz w:val="24"/>
          <w:szCs w:val="24"/>
        </w:rPr>
        <w:t>蒙古方提出</w:t>
      </w:r>
      <w:r>
        <w:rPr>
          <w:rFonts w:hint="eastAsia" w:ascii="Times New Roman" w:hAnsi="Times New Roman" w:eastAsia="仿宋" w:cs="Times New Roman"/>
          <w:sz w:val="24"/>
          <w:szCs w:val="24"/>
        </w:rPr>
        <w:t>的</w:t>
      </w:r>
      <w:r>
        <w:rPr>
          <w:rFonts w:ascii="Times New Roman" w:hAnsi="Times New Roman" w:eastAsia="仿宋" w:cs="Times New Roman"/>
          <w:sz w:val="24"/>
          <w:szCs w:val="24"/>
        </w:rPr>
        <w:t>多项管辖权异议，其中核心一项为蒙古方提出的属事管辖权异议</w:t>
      </w:r>
      <w:r>
        <w:rPr>
          <w:rFonts w:hint="eastAsia" w:ascii="Times New Roman" w:hAnsi="Times New Roman" w:eastAsia="仿宋" w:cs="Times New Roman"/>
          <w:sz w:val="24"/>
          <w:szCs w:val="24"/>
        </w:rPr>
        <w:t>：</w:t>
      </w:r>
      <w:r>
        <w:rPr>
          <w:rFonts w:ascii="Times New Roman" w:hAnsi="Times New Roman" w:eastAsia="仿宋" w:cs="Times New Roman"/>
          <w:sz w:val="24"/>
          <w:szCs w:val="24"/>
        </w:rPr>
        <w:t>蒙古方主张，在中蒙BIT第8条第（3）款约定可提交国际仲裁的争议范围仅限于“涉及征收补偿款额的争议”，因此仲裁庭对该案无管辖权；中方则援引了Sanum诉老挝案、谢业琛诉秘鲁案，主张中蒙BIT第8条第（3）款应作宽泛性解释，而不限于征收补偿数额争端。</w:t>
      </w:r>
    </w:p>
    <w:p>
      <w:pPr>
        <w:spacing w:line="360"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就中蒙BIT第8条第（3）款规定的“涉及征收补偿款额的争议”的范围，仲裁庭的解释为：</w:t>
      </w:r>
    </w:p>
    <w:p>
      <w:pPr>
        <w:spacing w:line="360"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（1）首先，中蒙BIT第8条采用这一表述的目的为对专设仲裁庭的管辖权作出限制，“涉及征收补偿款额的争议”不能被解释为与征收有关的所有投资争议；</w:t>
      </w:r>
    </w:p>
    <w:p>
      <w:pPr>
        <w:spacing w:line="360"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2）其次，结合中蒙BIT第4条第（2）款“征收”条款的相关表述，第4条第（2）款规定了补偿款额“应等于宣布征收时被征收的投资财产的价值”，第8条第（3）款特别强调了征收补偿“款额”，应为特指补偿金额及支付方式；</w:t>
      </w:r>
    </w:p>
    <w:p>
      <w:pPr>
        <w:spacing w:line="360"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3）最后，就申请人提出的基于条约目的和宗旨的解释方法，仲裁庭认为，涉及征收的争端包括征收事实的认定、征收引起的补偿责任、赔偿款额的计算等，只有涉及征收补偿款额的争议属于仲裁庭管辖范围内。</w:t>
      </w:r>
    </w:p>
    <w:p>
      <w:pPr>
        <w:spacing w:line="360"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综上，仲裁庭裁定，鉴于中蒙BIT规定仅“涉及征收补偿款额的争议”可提交仲裁，仲裁庭对该案无管辖权，驳回中国投资者的全部仲裁请求。</w:t>
      </w:r>
    </w:p>
    <w:p>
      <w:pPr>
        <w:spacing w:line="360" w:lineRule="auto"/>
        <w:ind w:firstLine="482" w:firstLineChars="200"/>
        <w:rPr>
          <w:rFonts w:ascii="Times New Roman" w:hAnsi="Times New Roman" w:eastAsia="仿宋" w:cs="Times New Roman"/>
          <w:b/>
          <w:sz w:val="24"/>
          <w:szCs w:val="24"/>
        </w:rPr>
      </w:pPr>
      <w:r>
        <w:rPr>
          <w:rFonts w:ascii="Times New Roman" w:hAnsi="Times New Roman" w:eastAsia="仿宋" w:cs="Times New Roman"/>
          <w:b/>
          <w:sz w:val="24"/>
          <w:szCs w:val="24"/>
        </w:rPr>
        <w:t>3. 对我国投资者的启示</w:t>
      </w:r>
    </w:p>
    <w:p>
      <w:pPr>
        <w:spacing w:line="360"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不同于Sanum诉老挝案、谢业琛诉秘鲁案等案中仲裁庭对相关BIT规定的“涉及征收补偿款额的争议</w:t>
      </w:r>
      <w:r>
        <w:rPr>
          <w:rFonts w:hint="eastAsia" w:ascii="Times New Roman" w:hAnsi="Times New Roman" w:eastAsia="仿宋" w:cs="Times New Roman"/>
          <w:sz w:val="24"/>
          <w:szCs w:val="24"/>
        </w:rPr>
        <w:t>”</w:t>
      </w:r>
      <w:r>
        <w:rPr>
          <w:rFonts w:ascii="Times New Roman" w:hAnsi="Times New Roman" w:eastAsia="仿宋" w:cs="Times New Roman"/>
          <w:sz w:val="24"/>
          <w:szCs w:val="24"/>
        </w:rPr>
        <w:t>作</w:t>
      </w:r>
      <w:r>
        <w:rPr>
          <w:rFonts w:hint="eastAsia" w:ascii="Times New Roman" w:hAnsi="Times New Roman" w:eastAsia="仿宋" w:cs="Times New Roman"/>
          <w:sz w:val="24"/>
          <w:szCs w:val="24"/>
          <w:lang w:val="en-US" w:eastAsia="zh-CN"/>
        </w:rPr>
        <w:t>出的</w:t>
      </w:r>
      <w:r>
        <w:rPr>
          <w:rFonts w:ascii="Times New Roman" w:hAnsi="Times New Roman" w:eastAsia="仿宋" w:cs="Times New Roman"/>
          <w:sz w:val="24"/>
          <w:szCs w:val="24"/>
        </w:rPr>
        <w:t>宽泛性解释，黑龙江国际经济技术合作公司等诉蒙古国案</w:t>
      </w:r>
      <w:r>
        <w:rPr>
          <w:rFonts w:hint="eastAsia" w:ascii="Times New Roman" w:hAnsi="Times New Roman" w:eastAsia="仿宋" w:cs="Times New Roman"/>
          <w:sz w:val="24"/>
          <w:szCs w:val="24"/>
          <w:lang w:val="en-US" w:eastAsia="zh-CN"/>
        </w:rPr>
        <w:t>的仲裁庭</w:t>
      </w:r>
      <w:r>
        <w:rPr>
          <w:rFonts w:ascii="Times New Roman" w:hAnsi="Times New Roman" w:eastAsia="仿宋" w:cs="Times New Roman"/>
          <w:sz w:val="24"/>
          <w:szCs w:val="24"/>
        </w:rPr>
        <w:t>对</w:t>
      </w:r>
      <w:r>
        <w:rPr>
          <w:rFonts w:hint="eastAsia" w:ascii="Times New Roman" w:hAnsi="Times New Roman" w:eastAsia="仿宋" w:cs="Times New Roman"/>
          <w:sz w:val="24"/>
          <w:szCs w:val="24"/>
        </w:rPr>
        <w:t>中蒙BIT项下的</w:t>
      </w:r>
      <w:r>
        <w:rPr>
          <w:rFonts w:ascii="Times New Roman" w:hAnsi="Times New Roman" w:eastAsia="仿宋" w:cs="Times New Roman"/>
          <w:sz w:val="24"/>
          <w:szCs w:val="24"/>
        </w:rPr>
        <w:t>第8条第（3）款作</w:t>
      </w:r>
      <w:r>
        <w:rPr>
          <w:rFonts w:hint="eastAsia" w:ascii="Times New Roman" w:hAnsi="Times New Roman" w:eastAsia="仿宋" w:cs="Times New Roman"/>
          <w:sz w:val="24"/>
          <w:szCs w:val="24"/>
          <w:lang w:val="en-US" w:eastAsia="zh-CN"/>
        </w:rPr>
        <w:t>出了</w:t>
      </w:r>
      <w:r>
        <w:rPr>
          <w:rFonts w:ascii="Times New Roman" w:hAnsi="Times New Roman" w:eastAsia="仿宋" w:cs="Times New Roman"/>
          <w:sz w:val="24"/>
          <w:szCs w:val="24"/>
        </w:rPr>
        <w:t>限定性解释</w:t>
      </w:r>
      <w:r>
        <w:rPr>
          <w:rFonts w:hint="eastAsia" w:ascii="Times New Roman" w:hAnsi="Times New Roman" w:eastAsia="仿宋" w:cs="Times New Roman"/>
          <w:sz w:val="24"/>
          <w:szCs w:val="24"/>
          <w:lang w:eastAsia="zh-CN"/>
        </w:rPr>
        <w:t>。</w:t>
      </w:r>
      <w:r>
        <w:rPr>
          <w:rFonts w:hint="eastAsia" w:ascii="Times New Roman" w:hAnsi="Times New Roman" w:eastAsia="仿宋" w:cs="Times New Roman"/>
          <w:sz w:val="24"/>
          <w:szCs w:val="24"/>
          <w:lang w:val="en-US" w:eastAsia="zh-CN"/>
        </w:rPr>
        <w:t>据此，</w:t>
      </w:r>
      <w:r>
        <w:rPr>
          <w:rFonts w:ascii="Times New Roman" w:hAnsi="Times New Roman" w:eastAsia="仿宋" w:cs="Times New Roman"/>
          <w:sz w:val="24"/>
          <w:szCs w:val="24"/>
        </w:rPr>
        <w:t>我国投资者与蒙古国政府</w:t>
      </w:r>
      <w:r>
        <w:rPr>
          <w:rFonts w:hint="eastAsia" w:ascii="Times New Roman" w:hAnsi="Times New Roman" w:eastAsia="仿宋" w:cs="Times New Roman"/>
          <w:sz w:val="24"/>
          <w:szCs w:val="24"/>
          <w:lang w:val="en-US" w:eastAsia="zh-CN"/>
        </w:rPr>
        <w:t>有关非</w:t>
      </w:r>
      <w:r>
        <w:rPr>
          <w:rFonts w:ascii="Times New Roman" w:hAnsi="Times New Roman" w:eastAsia="仿宋" w:cs="Times New Roman"/>
          <w:sz w:val="24"/>
          <w:szCs w:val="24"/>
        </w:rPr>
        <w:t>征收补偿款额的争议</w:t>
      </w:r>
      <w:r>
        <w:rPr>
          <w:rFonts w:hint="eastAsia" w:ascii="Times New Roman" w:hAnsi="Times New Roman" w:eastAsia="仿宋" w:cs="Times New Roman"/>
          <w:sz w:val="24"/>
          <w:szCs w:val="24"/>
          <w:lang w:eastAsia="zh-CN"/>
        </w:rPr>
        <w:t>，</w:t>
      </w:r>
      <w:r>
        <w:rPr>
          <w:rFonts w:ascii="Times New Roman" w:hAnsi="Times New Roman" w:eastAsia="仿宋" w:cs="Times New Roman"/>
          <w:sz w:val="24"/>
          <w:szCs w:val="24"/>
        </w:rPr>
        <w:t>存在被专设仲裁庭认定仲裁庭不具有管辖权的</w:t>
      </w:r>
      <w:r>
        <w:rPr>
          <w:rFonts w:hint="eastAsia" w:ascii="Times New Roman" w:hAnsi="Times New Roman" w:eastAsia="仿宋" w:cs="Times New Roman"/>
          <w:sz w:val="24"/>
          <w:szCs w:val="24"/>
        </w:rPr>
        <w:t>较大可能</w:t>
      </w:r>
      <w:r>
        <w:rPr>
          <w:rFonts w:ascii="Times New Roman" w:hAnsi="Times New Roman" w:eastAsia="仿宋" w:cs="Times New Roman"/>
          <w:sz w:val="24"/>
          <w:szCs w:val="24"/>
        </w:rPr>
        <w:t>。</w:t>
      </w:r>
    </w:p>
    <w:p>
      <w:pPr>
        <w:spacing w:line="360"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根据蒙古国《投资法》第20条规定，根据投资人的申请，为了稳定其投资环境，政府机关与投资额超过5000</w:t>
      </w:r>
      <w:r>
        <w:rPr>
          <w:rFonts w:ascii="Times New Roman" w:hAnsi="Times New Roman" w:eastAsia="仿宋" w:cs="Times New Roman"/>
          <w:sz w:val="24"/>
          <w:szCs w:val="24"/>
          <w:highlight w:val="none"/>
        </w:rPr>
        <w:t>亿图</w:t>
      </w:r>
      <w:r>
        <w:rPr>
          <w:rFonts w:ascii="Times New Roman" w:hAnsi="Times New Roman" w:eastAsia="仿宋" w:cs="Times New Roman"/>
          <w:sz w:val="24"/>
          <w:szCs w:val="24"/>
        </w:rPr>
        <w:t>的投资者签署投资协议，投资协议由主管投资事宜的政府成员与投资者签署；除法律另有规定，可在投资协议中反映蒙古国《投资法》规定的向投资者提供法律保障、稳定税收环境、给予协调和融资扶持的条件。</w:t>
      </w:r>
    </w:p>
    <w:p>
      <w:pPr>
        <w:spacing w:line="360"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我国拟向蒙古国境内投资的满足条件的投资者可积极寻求与蒙古国政府或国家授权机构签订投资协议，就与投资有关的法律保障、稳定税收环境等内容进行约定，并可在协议中约定与投资协议有关的一切争议均可通过仲裁方式解决。</w:t>
      </w:r>
    </w:p>
    <w:p>
      <w:pPr>
        <w:spacing w:line="360" w:lineRule="auto"/>
        <w:ind w:firstLine="480" w:firstLineChars="200"/>
        <w:rPr>
          <w:rFonts w:ascii="Times New Roman" w:hAnsi="Times New Roman" w:eastAsia="仿宋" w:cs="Times New Roman"/>
          <w:sz w:val="24"/>
          <w:szCs w:val="24"/>
        </w:rPr>
      </w:pPr>
    </w:p>
    <w:p>
      <w:pPr>
        <w:pStyle w:val="2"/>
        <w:numPr>
          <w:ilvl w:val="0"/>
          <w:numId w:val="1"/>
        </w:numPr>
        <w:spacing w:before="0" w:after="0" w:line="360" w:lineRule="auto"/>
        <w:jc w:val="left"/>
        <w:rPr>
          <w:rFonts w:ascii="Times New Roman" w:hAnsi="Times New Roman" w:eastAsia="仿宋" w:cs="Times New Roman"/>
          <w:sz w:val="28"/>
          <w:szCs w:val="28"/>
        </w:rPr>
      </w:pPr>
      <w:r>
        <w:rPr>
          <w:rFonts w:ascii="Times New Roman" w:hAnsi="Times New Roman" w:eastAsia="仿宋" w:cs="Times New Roman"/>
          <w:sz w:val="28"/>
          <w:szCs w:val="28"/>
        </w:rPr>
        <w:t>结语</w:t>
      </w:r>
    </w:p>
    <w:p>
      <w:pPr>
        <w:spacing w:line="360" w:lineRule="auto"/>
        <w:ind w:firstLine="480" w:firstLineChars="200"/>
        <w:rPr>
          <w:rFonts w:hint="eastAsia" w:ascii="Times New Roman" w:hAnsi="Times New Roman" w:eastAsia="仿宋" w:cs="Times New Roman"/>
          <w:sz w:val="24"/>
          <w:szCs w:val="24"/>
        </w:rPr>
      </w:pPr>
      <w:r>
        <w:rPr>
          <w:rFonts w:ascii="Times New Roman" w:hAnsi="Times New Roman" w:eastAsia="仿宋" w:cs="Times New Roman"/>
          <w:sz w:val="24"/>
          <w:szCs w:val="24"/>
        </w:rPr>
        <w:t>总体而言，中蒙BIT可为我国投资者及其在蒙古国的投资提供一定程度的保护，例如：（1）中蒙BIT规定了我国向蒙古国投资的投资者及与投资有关的活动享有公平与公正待遇、最惠国待遇；（2）中蒙BIT明确了“投资不被征收”的原则，并对“征收、国有化或类似措施”规定了较详细的补偿措施。</w:t>
      </w:r>
    </w:p>
    <w:p>
      <w:pPr>
        <w:spacing w:line="360"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就我国银行等金融机构对蒙古国境内公司发放的商业贷款</w:t>
      </w:r>
      <w:r>
        <w:rPr>
          <w:rFonts w:hint="eastAsia" w:ascii="Times New Roman" w:hAnsi="Times New Roman" w:eastAsia="仿宋" w:cs="Times New Roman"/>
          <w:sz w:val="24"/>
          <w:szCs w:val="24"/>
        </w:rPr>
        <w:t>，</w:t>
      </w:r>
      <w:r>
        <w:rPr>
          <w:rFonts w:ascii="Times New Roman" w:hAnsi="Times New Roman" w:eastAsia="仿宋" w:cs="Times New Roman"/>
          <w:sz w:val="24"/>
          <w:szCs w:val="24"/>
        </w:rPr>
        <w:t>以及我国法人投资者</w:t>
      </w:r>
      <w:r>
        <w:rPr>
          <w:rFonts w:hint="eastAsia" w:ascii="Times New Roman" w:hAnsi="Times New Roman" w:eastAsia="仿宋" w:cs="Times New Roman"/>
          <w:sz w:val="24"/>
          <w:szCs w:val="24"/>
        </w:rPr>
        <w:t>以三种不同形式在蒙境内</w:t>
      </w:r>
      <w:r>
        <w:rPr>
          <w:rFonts w:ascii="Times New Roman" w:hAnsi="Times New Roman" w:eastAsia="仿宋" w:cs="Times New Roman"/>
          <w:sz w:val="24"/>
          <w:szCs w:val="24"/>
        </w:rPr>
        <w:t>承包工程项目</w:t>
      </w:r>
      <w:r>
        <w:rPr>
          <w:rFonts w:hint="eastAsia" w:ascii="Times New Roman" w:hAnsi="Times New Roman" w:eastAsia="仿宋" w:cs="Times New Roman"/>
          <w:sz w:val="24"/>
          <w:szCs w:val="24"/>
        </w:rPr>
        <w:t>，通过</w:t>
      </w:r>
      <w:r>
        <w:rPr>
          <w:rFonts w:ascii="Times New Roman" w:hAnsi="Times New Roman" w:eastAsia="仿宋" w:cs="Times New Roman"/>
          <w:sz w:val="24"/>
          <w:szCs w:val="24"/>
        </w:rPr>
        <w:t>对中蒙BIT关于投资的定义</w:t>
      </w:r>
      <w:r>
        <w:rPr>
          <w:rFonts w:hint="eastAsia" w:ascii="Times New Roman" w:hAnsi="Times New Roman" w:eastAsia="仿宋" w:cs="Times New Roman"/>
          <w:sz w:val="24"/>
          <w:szCs w:val="24"/>
        </w:rPr>
        <w:t>以及蒙古国国内相关法律规定进行分析，笔者认为，前述投资形式均可在不同层面适用</w:t>
      </w:r>
      <w:r>
        <w:rPr>
          <w:rFonts w:ascii="Times New Roman" w:hAnsi="Times New Roman" w:eastAsia="仿宋" w:cs="Times New Roman"/>
          <w:sz w:val="24"/>
          <w:szCs w:val="24"/>
        </w:rPr>
        <w:t>中蒙BIT第</w:t>
      </w:r>
      <w:r>
        <w:rPr>
          <w:rFonts w:hint="eastAsia" w:ascii="Times New Roman" w:hAnsi="Times New Roman" w:eastAsia="仿宋" w:cs="Times New Roman"/>
          <w:sz w:val="24"/>
          <w:szCs w:val="24"/>
        </w:rPr>
        <w:t>1条关于“投资”的定义，并获得</w:t>
      </w:r>
      <w:r>
        <w:rPr>
          <w:rFonts w:ascii="Times New Roman" w:hAnsi="Times New Roman" w:eastAsia="仿宋" w:cs="Times New Roman"/>
          <w:sz w:val="24"/>
          <w:szCs w:val="24"/>
        </w:rPr>
        <w:t>中蒙BIT的保护</w:t>
      </w:r>
      <w:r>
        <w:rPr>
          <w:rFonts w:hint="eastAsia" w:ascii="Times New Roman" w:hAnsi="Times New Roman" w:eastAsia="仿宋" w:cs="Times New Roman"/>
          <w:sz w:val="24"/>
          <w:szCs w:val="24"/>
        </w:rPr>
        <w:t>。</w:t>
      </w:r>
    </w:p>
    <w:p>
      <w:pPr>
        <w:spacing w:line="360"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我国拟向蒙古国境内进行投资的投资者需注意：（</w:t>
      </w:r>
      <w:r>
        <w:rPr>
          <w:rFonts w:hint="eastAsia" w:ascii="Times New Roman" w:hAnsi="Times New Roman" w:eastAsia="仿宋" w:cs="Times New Roman"/>
          <w:sz w:val="24"/>
          <w:szCs w:val="24"/>
        </w:rPr>
        <w:t>1</w:t>
      </w:r>
      <w:r>
        <w:rPr>
          <w:rFonts w:ascii="Times New Roman" w:hAnsi="Times New Roman" w:eastAsia="仿宋" w:cs="Times New Roman"/>
          <w:sz w:val="24"/>
          <w:szCs w:val="24"/>
        </w:rPr>
        <w:t>）我国的国有法人（即在我国注册的公司50%及以上股份被我国国家直接或间接持有的法人）在蒙古国境内投资矿业、金融、新闻通讯三个领域时，若在其拟投资的项目公司持有股份比例达到33%或以上时，须获得蒙古国投资主管部门批准</w:t>
      </w:r>
      <w:r>
        <w:rPr>
          <w:rFonts w:hint="eastAsia" w:ascii="Times New Roman" w:hAnsi="Times New Roman" w:eastAsia="仿宋" w:cs="Times New Roman"/>
          <w:sz w:val="24"/>
          <w:szCs w:val="24"/>
        </w:rPr>
        <w:t>；</w:t>
      </w:r>
      <w:r>
        <w:rPr>
          <w:rFonts w:ascii="Times New Roman" w:hAnsi="Times New Roman" w:eastAsia="仿宋" w:cs="Times New Roman"/>
          <w:sz w:val="24"/>
          <w:szCs w:val="24"/>
        </w:rPr>
        <w:t>（</w:t>
      </w:r>
      <w:r>
        <w:rPr>
          <w:rFonts w:hint="eastAsia" w:ascii="Times New Roman" w:hAnsi="Times New Roman" w:eastAsia="仿宋" w:cs="Times New Roman"/>
          <w:sz w:val="24"/>
          <w:szCs w:val="24"/>
        </w:rPr>
        <w:t>2</w:t>
      </w:r>
      <w:r>
        <w:rPr>
          <w:rFonts w:ascii="Times New Roman" w:hAnsi="Times New Roman" w:eastAsia="仿宋" w:cs="Times New Roman"/>
          <w:sz w:val="24"/>
          <w:szCs w:val="24"/>
        </w:rPr>
        <w:t>）</w:t>
      </w:r>
      <w:r>
        <w:rPr>
          <w:rFonts w:hint="eastAsia" w:ascii="Times New Roman" w:hAnsi="Times New Roman" w:eastAsia="仿宋" w:cs="Times New Roman"/>
          <w:sz w:val="24"/>
          <w:szCs w:val="24"/>
        </w:rPr>
        <w:t>鉴于</w:t>
      </w:r>
      <w:r>
        <w:rPr>
          <w:rFonts w:ascii="Times New Roman" w:hAnsi="Times New Roman" w:eastAsia="仿宋" w:cs="Times New Roman"/>
          <w:sz w:val="24"/>
          <w:szCs w:val="24"/>
        </w:rPr>
        <w:t>中蒙BIT第8条</w:t>
      </w:r>
      <w:r>
        <w:rPr>
          <w:rFonts w:hint="eastAsia" w:ascii="Times New Roman" w:hAnsi="Times New Roman" w:eastAsia="仿宋" w:cs="Times New Roman"/>
          <w:sz w:val="24"/>
          <w:szCs w:val="24"/>
        </w:rPr>
        <w:t>规定</w:t>
      </w:r>
      <w:r>
        <w:rPr>
          <w:rFonts w:ascii="Times New Roman" w:hAnsi="Times New Roman" w:eastAsia="仿宋" w:cs="Times New Roman"/>
          <w:sz w:val="24"/>
          <w:szCs w:val="24"/>
        </w:rPr>
        <w:t>可提交仲裁的范围仅限于涉及征收补偿款额的争议</w:t>
      </w:r>
      <w:r>
        <w:rPr>
          <w:rFonts w:hint="eastAsia" w:ascii="Times New Roman" w:hAnsi="Times New Roman" w:eastAsia="仿宋" w:cs="Times New Roman"/>
          <w:sz w:val="24"/>
          <w:szCs w:val="24"/>
        </w:rPr>
        <w:t>，若发生相关争议时，建议我国投资者在案件准备时，将征收补偿款额有关的争议与征收行为合法性的争议予以</w:t>
      </w:r>
      <w:r>
        <w:rPr>
          <w:rFonts w:hint="eastAsia" w:ascii="Times New Roman" w:hAnsi="Times New Roman" w:eastAsia="仿宋" w:cs="Times New Roman"/>
          <w:sz w:val="24"/>
          <w:szCs w:val="24"/>
          <w:highlight w:val="none"/>
        </w:rPr>
        <w:t>分拆</w:t>
      </w:r>
      <w:r>
        <w:rPr>
          <w:rFonts w:hint="eastAsia" w:ascii="Times New Roman" w:hAnsi="Times New Roman" w:eastAsia="仿宋" w:cs="Times New Roman"/>
          <w:sz w:val="24"/>
          <w:szCs w:val="24"/>
        </w:rPr>
        <w:t>，以便专设仲裁庭顺利获得属事管辖权。</w:t>
      </w:r>
    </w:p>
    <w:p>
      <w:pPr>
        <w:spacing w:line="360"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考察黑龙江国际经济技术合作公司等诉蒙古国案，中蒙BIT第8条第（3）款规定的可提交仲裁的范围限于“涉及征收补偿款额的争议”，存在被专设仲裁庭进行限制性解释，从而认定仲裁庭不具备属事管辖权</w:t>
      </w:r>
      <w:r>
        <w:rPr>
          <w:rFonts w:hint="eastAsia" w:ascii="Times New Roman" w:hAnsi="Times New Roman" w:eastAsia="仿宋" w:cs="Times New Roman"/>
          <w:sz w:val="24"/>
          <w:szCs w:val="24"/>
        </w:rPr>
        <w:t>的判例</w:t>
      </w:r>
      <w:r>
        <w:rPr>
          <w:rFonts w:ascii="Times New Roman" w:hAnsi="Times New Roman" w:eastAsia="仿宋" w:cs="Times New Roman"/>
          <w:sz w:val="24"/>
          <w:szCs w:val="24"/>
        </w:rPr>
        <w:t>。建议我国拟向蒙古国投资的投资者积极寻求与蒙古国政府或国家授权机构签订投资协议，在协议中约定与投资协议有关的一切争议均可通过仲裁解决，以获得蒙古国政府就仲裁管辖权的事先同意。</w:t>
      </w:r>
    </w:p>
    <w:sectPr>
      <w:pgSz w:w="12240" w:h="15840"/>
      <w:pgMar w:top="1440" w:right="1800" w:bottom="1440" w:left="18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36">
    <w:p>
      <w:r>
        <w:separator/>
      </w:r>
    </w:p>
  </w:footnote>
  <w:footnote w:type="continuationSeparator" w:id="37">
    <w:p>
      <w:r>
        <w:continuationSeparator/>
      </w:r>
    </w:p>
  </w:footnote>
  <w:footnote w:id="0">
    <w:p>
      <w:pPr>
        <w:pStyle w:val="9"/>
        <w:rPr>
          <w:rFonts w:ascii="Times New Roman" w:hAnsi="Times New Roman" w:cs="Times New Roman"/>
        </w:rPr>
      </w:pPr>
      <w:r>
        <w:rPr>
          <w:rStyle w:val="18"/>
          <w:rFonts w:ascii="Times New Roman" w:hAnsi="Times New Roman" w:cs="Times New Roman"/>
        </w:rPr>
        <w:footnoteRef/>
      </w:r>
      <w:r>
        <w:rPr>
          <w:rFonts w:ascii="Times New Roman" w:hAnsi="Times New Roman" w:cs="Times New Roman"/>
        </w:rPr>
        <w:t xml:space="preserve"> See “the World Bank” website, https://data.worldbank.org/country/mongolia, </w:t>
      </w:r>
      <w:r>
        <w:rPr>
          <w:rFonts w:hint="eastAsia" w:ascii="Times New Roman" w:hAnsi="Times New Roman" w:cs="Times New Roman"/>
        </w:rPr>
        <w:t>Nov</w:t>
      </w:r>
      <w:r>
        <w:rPr>
          <w:rFonts w:ascii="Times New Roman" w:hAnsi="Times New Roman" w:cs="Times New Roman"/>
        </w:rPr>
        <w:t xml:space="preserve">. </w:t>
      </w:r>
      <w:r>
        <w:rPr>
          <w:rFonts w:hint="eastAsia" w:ascii="Times New Roman" w:hAnsi="Times New Roman" w:cs="Times New Roman"/>
        </w:rPr>
        <w:t>17</w:t>
      </w:r>
      <w:r>
        <w:rPr>
          <w:rFonts w:ascii="Times New Roman" w:hAnsi="Times New Roman" w:cs="Times New Roman"/>
        </w:rPr>
        <w:t>, 2019.</w:t>
      </w:r>
    </w:p>
  </w:footnote>
  <w:footnote w:id="1">
    <w:p>
      <w:pPr>
        <w:pStyle w:val="9"/>
        <w:rPr>
          <w:rFonts w:ascii="Times New Roman" w:hAnsi="Times New Roman" w:cs="Times New Roman"/>
        </w:rPr>
      </w:pPr>
      <w:r>
        <w:rPr>
          <w:rStyle w:val="18"/>
          <w:rFonts w:ascii="Times New Roman" w:hAnsi="Times New Roman" w:cs="Times New Roman"/>
        </w:rPr>
        <w:footnoteRef/>
      </w:r>
      <w:r>
        <w:rPr>
          <w:rFonts w:ascii="Times New Roman" w:hAnsi="Times New Roman" w:cs="Times New Roman"/>
        </w:rPr>
        <w:t xml:space="preserve"> </w:t>
      </w:r>
      <w:r>
        <w:rPr>
          <w:rFonts w:ascii="Times New Roman" w:hAnsi="Times New Roman" w:eastAsia="仿宋" w:cs="Times New Roman"/>
        </w:rPr>
        <w:t>参见商务部：对外投资合作国别（地区）指南——蒙古国（2018年版）》，第29页。</w:t>
      </w:r>
    </w:p>
  </w:footnote>
  <w:footnote w:id="2">
    <w:p>
      <w:pPr>
        <w:pStyle w:val="9"/>
        <w:rPr>
          <w:rFonts w:ascii="Times New Roman" w:hAnsi="Times New Roman" w:cs="Times New Roman"/>
        </w:rPr>
      </w:pPr>
      <w:r>
        <w:rPr>
          <w:rStyle w:val="18"/>
          <w:rFonts w:ascii="Times New Roman" w:hAnsi="Times New Roman" w:cs="Times New Roman"/>
        </w:rPr>
        <w:footnoteRef/>
      </w:r>
      <w:r>
        <w:rPr>
          <w:rFonts w:ascii="Times New Roman" w:hAnsi="Times New Roman" w:cs="Times New Roman"/>
        </w:rPr>
        <w:t xml:space="preserve"> See “The Global Competitiveness Report 2018”, available at:  http://reports.weforum.org/global-competitiveness-report-2018/country-economy-profiles/#economy=MNG, Nov. 17, 2019.</w:t>
      </w:r>
    </w:p>
  </w:footnote>
  <w:footnote w:id="3">
    <w:p>
      <w:pPr>
        <w:pStyle w:val="9"/>
      </w:pPr>
      <w:r>
        <w:rPr>
          <w:rStyle w:val="18"/>
          <w:rFonts w:ascii="Times New Roman" w:hAnsi="Times New Roman" w:cs="Times New Roman"/>
        </w:rPr>
        <w:footnoteRef/>
      </w:r>
      <w:r>
        <w:rPr>
          <w:rFonts w:ascii="Times New Roman" w:hAnsi="Times New Roman" w:cs="Times New Roman"/>
        </w:rPr>
        <w:t xml:space="preserve"> </w:t>
      </w:r>
      <w:r>
        <w:rPr>
          <w:rFonts w:ascii="Times New Roman" w:hAnsi="Times New Roman" w:eastAsia="仿宋" w:cs="Times New Roman"/>
        </w:rPr>
        <w:t>参见世界银行：《2019年营商环境报告》，https://chinese.doingbusiness.org/zh/data/exploreeconomies/mongolia, 访问日期：2019年11月17日。</w:t>
      </w:r>
    </w:p>
  </w:footnote>
  <w:footnote w:id="4">
    <w:p>
      <w:pPr>
        <w:pStyle w:val="9"/>
        <w:rPr>
          <w:rFonts w:ascii="Times New Roman" w:hAnsi="Times New Roman" w:eastAsia="仿宋" w:cs="Times New Roman"/>
        </w:rPr>
      </w:pPr>
      <w:r>
        <w:rPr>
          <w:rStyle w:val="18"/>
          <w:rFonts w:ascii="Times New Roman" w:hAnsi="Times New Roman" w:eastAsia="仿宋" w:cs="Times New Roman"/>
        </w:rPr>
        <w:footnoteRef/>
      </w:r>
      <w:r>
        <w:rPr>
          <w:rFonts w:ascii="Times New Roman" w:hAnsi="Times New Roman" w:eastAsia="仿宋" w:cs="Times New Roman"/>
        </w:rPr>
        <w:t xml:space="preserve"> See LAW OF MONGOLIA ON CURRENCY SETTLEMENTS, Article 14.6</w:t>
      </w:r>
      <w:r>
        <w:rPr>
          <w:rFonts w:hint="eastAsia" w:ascii="Times New Roman" w:hAnsi="Times New Roman" w:eastAsia="仿宋" w:cs="Times New Roman"/>
        </w:rPr>
        <w:t>,</w:t>
      </w:r>
      <w:r>
        <w:rPr>
          <w:rFonts w:ascii="Times New Roman" w:hAnsi="Times New Roman" w:eastAsia="仿宋" w:cs="Times New Roman"/>
        </w:rPr>
        <w:t xml:space="preserve"> Business entities, organisations and citizens of Mongolia shall register all loans in foreign currencies borrowed from abroad with the Bank of Mongolia.</w:t>
      </w:r>
    </w:p>
  </w:footnote>
  <w:footnote w:id="5">
    <w:p>
      <w:pPr>
        <w:pStyle w:val="9"/>
      </w:pPr>
      <w:r>
        <w:rPr>
          <w:rStyle w:val="18"/>
          <w:rFonts w:ascii="Times New Roman" w:hAnsi="Times New Roman" w:eastAsia="仿宋" w:cs="Times New Roman"/>
        </w:rPr>
        <w:footnoteRef/>
      </w:r>
      <w:r>
        <w:rPr>
          <w:rFonts w:ascii="Times New Roman" w:hAnsi="Times New Roman" w:eastAsia="仿宋" w:cs="Times New Roman"/>
        </w:rPr>
        <w:t xml:space="preserve"> 参见商务部：对外投资合作国别（地区）指南——蒙古国（2018年版）》，第68页。</w:t>
      </w:r>
    </w:p>
  </w:footnote>
  <w:footnote w:id="6">
    <w:p>
      <w:pPr>
        <w:pStyle w:val="9"/>
        <w:rPr>
          <w:rFonts w:ascii="Times New Roman" w:hAnsi="Times New Roman" w:cs="Times New Roman"/>
        </w:rPr>
      </w:pPr>
      <w:r>
        <w:rPr>
          <w:rStyle w:val="18"/>
        </w:rPr>
        <w:footnoteRef/>
      </w:r>
      <w:r>
        <w:t xml:space="preserve"> </w:t>
      </w:r>
      <w:r>
        <w:rPr>
          <w:rFonts w:ascii="Times New Roman" w:hAnsi="Times New Roman" w:cs="Times New Roman"/>
        </w:rPr>
        <w:t xml:space="preserve">See Construction Law </w:t>
      </w:r>
      <w:r>
        <w:rPr>
          <w:rFonts w:hint="default" w:ascii="Times New Roman" w:hAnsi="Times New Roman" w:cs="Times New Roman"/>
        </w:rPr>
        <w:t>of</w:t>
      </w:r>
      <w:r>
        <w:rPr>
          <w:rFonts w:ascii="Times New Roman" w:hAnsi="Times New Roman" w:cs="Times New Roman"/>
        </w:rPr>
        <w:t xml:space="preserve"> </w:t>
      </w:r>
      <w:r>
        <w:rPr>
          <w:rFonts w:hint="default" w:ascii="Times New Roman" w:hAnsi="Times New Roman" w:cs="Times New Roman"/>
        </w:rPr>
        <w:t>Mongolia</w:t>
      </w:r>
      <w:r>
        <w:rPr>
          <w:rFonts w:ascii="Times New Roman" w:hAnsi="Times New Roman" w:cs="Times New Roman"/>
        </w:rPr>
        <w:t>, Article 19 Licensing of Construction Activity,</w:t>
      </w:r>
    </w:p>
    <w:p>
      <w:pPr>
        <w:pStyle w:val="9"/>
        <w:rPr>
          <w:rFonts w:ascii="Times New Roman" w:hAnsi="Times New Roman" w:cs="Times New Roman"/>
        </w:rPr>
      </w:pPr>
      <w:r>
        <w:rPr>
          <w:rFonts w:ascii="Times New Roman" w:hAnsi="Times New Roman" w:cs="Times New Roman"/>
        </w:rPr>
        <w:t>19.1. The following construction activities shall be conducted on the basis of the license:</w:t>
      </w:r>
    </w:p>
    <w:p>
      <w:pPr>
        <w:pStyle w:val="9"/>
        <w:ind w:left="210" w:leftChars="100"/>
        <w:rPr>
          <w:rFonts w:ascii="Times New Roman" w:hAnsi="Times New Roman" w:cs="Times New Roman"/>
        </w:rPr>
      </w:pPr>
      <w:r>
        <w:rPr>
          <w:rFonts w:ascii="Times New Roman" w:hAnsi="Times New Roman" w:cs="Times New Roman"/>
        </w:rPr>
        <w:t>19.1.1. Develop projects related to construction category referred to in Article 10.1.2, 10.1.3, 10.1.4, 10.1.5;</w:t>
      </w:r>
    </w:p>
    <w:p>
      <w:pPr>
        <w:pStyle w:val="9"/>
        <w:ind w:left="210" w:leftChars="100"/>
        <w:rPr>
          <w:rFonts w:ascii="Times New Roman" w:hAnsi="Times New Roman" w:cs="Times New Roman"/>
        </w:rPr>
      </w:pPr>
      <w:r>
        <w:rPr>
          <w:rFonts w:ascii="Times New Roman" w:hAnsi="Times New Roman" w:cs="Times New Roman"/>
        </w:rPr>
        <w:t xml:space="preserve">19.1.2. Perform construction work related to construction category referred to in Article 10.1.2, 10.1.3, 10.1.4, 10.1.5; </w:t>
      </w:r>
    </w:p>
    <w:p>
      <w:pPr>
        <w:pStyle w:val="9"/>
        <w:ind w:left="210" w:leftChars="100"/>
        <w:rPr>
          <w:rFonts w:ascii="Times New Roman" w:hAnsi="Times New Roman" w:cs="Times New Roman"/>
        </w:rPr>
      </w:pPr>
      <w:r>
        <w:rPr>
          <w:rFonts w:ascii="Times New Roman" w:hAnsi="Times New Roman" w:cs="Times New Roman"/>
        </w:rPr>
        <w:t xml:space="preserve">19.1.3. Engaging lifting plant and its parts production, assembly, repair and maintenance; </w:t>
      </w:r>
    </w:p>
    <w:p>
      <w:pPr>
        <w:pStyle w:val="9"/>
        <w:ind w:left="210" w:leftChars="100"/>
        <w:rPr>
          <w:rFonts w:hint="default" w:ascii="Times New Roman" w:hAnsi="Times New Roman" w:cs="Times New Roman"/>
        </w:rPr>
      </w:pPr>
      <w:r>
        <w:rPr>
          <w:rFonts w:ascii="Times New Roman" w:hAnsi="Times New Roman" w:cs="Times New Roman"/>
        </w:rPr>
        <w:t>19.1.4. Production of load-bearing structures, structures, items, materials, its raw materials and flammable, toxic, energy-saving products.</w:t>
      </w:r>
    </w:p>
  </w:footnote>
  <w:footnote w:id="7">
    <w:p>
      <w:pPr>
        <w:pStyle w:val="9"/>
        <w:rPr>
          <w:rFonts w:hint="default" w:ascii="仿宋" w:hAnsi="仿宋" w:eastAsia="仿宋" w:cs="Times New Roman"/>
        </w:rPr>
      </w:pPr>
      <w:r>
        <w:rPr>
          <w:rStyle w:val="18"/>
        </w:rPr>
        <w:footnoteRef/>
      </w:r>
      <w:r>
        <w:t xml:space="preserve"> </w:t>
      </w:r>
      <w:r>
        <w:rPr>
          <w:rFonts w:hint="default" w:ascii="仿宋" w:hAnsi="仿宋" w:eastAsia="仿宋" w:cs="Times New Roman"/>
        </w:rPr>
        <w:t>2016年蒙古国《建筑法》</w:t>
      </w:r>
      <w:r>
        <w:rPr>
          <w:rFonts w:hint="eastAsia" w:ascii="仿宋" w:hAnsi="仿宋" w:eastAsia="仿宋" w:cs="Times New Roman"/>
        </w:rPr>
        <w:t>并未明确规定第20.3条规定的法人营业执照是否特指蒙古国的法人营业执照，或者包括外国的法人营业执照，部分观点认为，持有蒙古国的法人营业执照为申请</w:t>
      </w:r>
      <w:r>
        <w:rPr>
          <w:rFonts w:hint="eastAsia" w:ascii="仿宋" w:hAnsi="仿宋" w:eastAsia="仿宋" w:cs="Times New Roman"/>
          <w:lang w:eastAsia="zh-CN"/>
        </w:rPr>
        <w:t>建设许可证</w:t>
      </w:r>
      <w:r>
        <w:rPr>
          <w:rFonts w:hint="eastAsia" w:ascii="仿宋" w:hAnsi="仿宋" w:eastAsia="仿宋" w:cs="Times New Roman"/>
        </w:rPr>
        <w:t>的必要条件。笔者认为，第20.3条并未明确规定法人营业执照须依照蒙古国国内法获取，其他条款亦未规定</w:t>
      </w:r>
      <w:r>
        <w:rPr>
          <w:rFonts w:hint="eastAsia" w:ascii="仿宋" w:hAnsi="仿宋" w:eastAsia="仿宋" w:cs="Times New Roman"/>
          <w:lang w:eastAsia="zh-CN"/>
        </w:rPr>
        <w:t>建设许可证</w:t>
      </w:r>
      <w:r>
        <w:rPr>
          <w:rFonts w:hint="eastAsia" w:ascii="仿宋" w:hAnsi="仿宋" w:eastAsia="仿宋" w:cs="Times New Roman"/>
        </w:rPr>
        <w:t>只能由依照蒙古国法成立的公司或法律实体取得，则该条款法人营业执照并未排除我国的法人投资者的营业执照，我国的法人投资者有权利依照</w:t>
      </w:r>
      <w:r>
        <w:rPr>
          <w:rFonts w:ascii="仿宋" w:hAnsi="仿宋" w:eastAsia="仿宋" w:cs="Times New Roman"/>
        </w:rPr>
        <w:t>2016年蒙古国《建筑法》申请</w:t>
      </w:r>
      <w:r>
        <w:rPr>
          <w:rFonts w:hint="eastAsia" w:ascii="仿宋" w:hAnsi="仿宋" w:eastAsia="仿宋" w:cs="Times New Roman"/>
          <w:lang w:eastAsia="zh-CN"/>
        </w:rPr>
        <w:t>建设许可证</w:t>
      </w:r>
      <w:r>
        <w:rPr>
          <w:rFonts w:hint="eastAsia" w:ascii="仿宋" w:hAnsi="仿宋" w:eastAsia="仿宋" w:cs="Times New Roman"/>
        </w:rPr>
        <w:t>。</w:t>
      </w:r>
    </w:p>
  </w:footnote>
  <w:footnote w:id="8">
    <w:p>
      <w:pPr>
        <w:pStyle w:val="9"/>
        <w:rPr>
          <w:rFonts w:hint="default" w:ascii="Times New Roman" w:hAnsi="Times New Roman" w:cs="Times New Roman"/>
        </w:rPr>
      </w:pPr>
      <w:r>
        <w:rPr>
          <w:rStyle w:val="18"/>
          <w:rFonts w:ascii="Times New Roman" w:hAnsi="Times New Roman" w:cs="Times New Roman"/>
        </w:rPr>
        <w:footnoteRef/>
      </w:r>
      <w:r>
        <w:rPr>
          <w:rFonts w:ascii="Times New Roman" w:hAnsi="Times New Roman" w:cs="Times New Roman"/>
        </w:rPr>
        <w:t xml:space="preserve"> See Construction Law of </w:t>
      </w:r>
      <w:r>
        <w:rPr>
          <w:rFonts w:hint="default" w:ascii="Times New Roman" w:hAnsi="Times New Roman" w:cs="Times New Roman"/>
        </w:rPr>
        <w:t>Mongolia, Article</w:t>
      </w:r>
      <w:r>
        <w:rPr>
          <w:rFonts w:ascii="Times New Roman" w:hAnsi="Times New Roman" w:cs="Times New Roman"/>
        </w:rPr>
        <w:t xml:space="preserve"> </w:t>
      </w:r>
      <w:r>
        <w:rPr>
          <w:rFonts w:hint="default" w:ascii="Times New Roman" w:hAnsi="Times New Roman" w:cs="Times New Roman"/>
        </w:rPr>
        <w:t>20.3,</w:t>
      </w:r>
    </w:p>
    <w:p>
      <w:pPr>
        <w:pStyle w:val="9"/>
        <w:rPr>
          <w:rFonts w:ascii="Times New Roman" w:hAnsi="Times New Roman" w:cs="Times New Roman"/>
        </w:rPr>
      </w:pPr>
      <w:r>
        <w:rPr>
          <w:rFonts w:ascii="Times New Roman" w:hAnsi="Times New Roman" w:cs="Times New Roman"/>
        </w:rPr>
        <w:t>In addition to those specified in Article 11 of the legal entity operating license application, construction operating license to submit the following documents entity referred to in Article 34 of this law:</w:t>
      </w:r>
    </w:p>
    <w:p>
      <w:pPr>
        <w:pStyle w:val="9"/>
        <w:ind w:left="210" w:leftChars="100"/>
        <w:rPr>
          <w:rFonts w:ascii="Times New Roman" w:hAnsi="Times New Roman" w:cs="Times New Roman"/>
        </w:rPr>
      </w:pPr>
      <w:r>
        <w:rPr>
          <w:rFonts w:ascii="Times New Roman" w:hAnsi="Times New Roman" w:cs="Times New Roman"/>
        </w:rPr>
        <w:t xml:space="preserve">20.3.1. Information on the staff; </w:t>
      </w:r>
    </w:p>
    <w:p>
      <w:pPr>
        <w:pStyle w:val="9"/>
        <w:ind w:left="210" w:leftChars="100"/>
        <w:rPr>
          <w:rFonts w:ascii="Times New Roman" w:hAnsi="Times New Roman" w:cs="Times New Roman"/>
        </w:rPr>
      </w:pPr>
      <w:r>
        <w:rPr>
          <w:rFonts w:ascii="Times New Roman" w:hAnsi="Times New Roman" w:cs="Times New Roman"/>
        </w:rPr>
        <w:t xml:space="preserve">20.3.2. List of tools, equipment, hardware and specifications, information on the production of construction; </w:t>
      </w:r>
    </w:p>
    <w:p>
      <w:pPr>
        <w:pStyle w:val="9"/>
        <w:ind w:left="210" w:leftChars="100"/>
        <w:rPr>
          <w:rFonts w:ascii="Times New Roman" w:hAnsi="Times New Roman" w:cs="Times New Roman"/>
        </w:rPr>
      </w:pPr>
      <w:r>
        <w:rPr>
          <w:rFonts w:ascii="Times New Roman" w:hAnsi="Times New Roman" w:cs="Times New Roman"/>
        </w:rPr>
        <w:t>20.3.3. A copy of the agreement to use the party this Article 20.3.2, equipment and other necessary equipment, machinery or equipment specified in case law;</w:t>
      </w:r>
    </w:p>
    <w:p>
      <w:pPr>
        <w:pStyle w:val="9"/>
        <w:ind w:left="210" w:leftChars="100"/>
        <w:rPr>
          <w:rFonts w:hint="default" w:ascii="Times New Roman" w:hAnsi="Times New Roman" w:cs="Times New Roman"/>
        </w:rPr>
      </w:pPr>
      <w:r>
        <w:rPr>
          <w:rFonts w:ascii="Times New Roman" w:hAnsi="Times New Roman" w:cs="Times New Roman"/>
        </w:rPr>
        <w:t>20.3.4. Construction conclusion of the probability of the design of the facility set forth in Article 20.2 of this law.</w:t>
      </w:r>
    </w:p>
  </w:footnote>
  <w:footnote w:id="9">
    <w:p>
      <w:pPr>
        <w:pStyle w:val="9"/>
        <w:rPr>
          <w:rFonts w:hint="default" w:ascii="Times New Roman" w:hAnsi="Times New Roman" w:cs="Times New Roman"/>
        </w:rPr>
      </w:pPr>
      <w:r>
        <w:rPr>
          <w:rStyle w:val="18"/>
        </w:rPr>
        <w:footnoteRef/>
      </w:r>
      <w:r>
        <w:t xml:space="preserve"> </w:t>
      </w:r>
      <w:r>
        <w:rPr>
          <w:rFonts w:ascii="Times New Roman" w:hAnsi="Times New Roman" w:cs="Times New Roman"/>
        </w:rPr>
        <w:t xml:space="preserve">See Construction Law of Mongolia, Article </w:t>
      </w:r>
      <w:r>
        <w:rPr>
          <w:rFonts w:hint="default" w:ascii="Times New Roman" w:hAnsi="Times New Roman" w:cs="Times New Roman"/>
        </w:rPr>
        <w:t>21</w:t>
      </w:r>
      <w:r>
        <w:rPr>
          <w:rFonts w:hint="eastAsia" w:ascii="Times New Roman" w:hAnsi="Times New Roman" w:cs="Times New Roman"/>
        </w:rPr>
        <w:t>,</w:t>
      </w:r>
    </w:p>
    <w:p>
      <w:pPr>
        <w:pStyle w:val="9"/>
        <w:rPr>
          <w:rFonts w:hint="default" w:ascii="Times New Roman" w:hAnsi="Times New Roman" w:cs="Times New Roman"/>
        </w:rPr>
      </w:pPr>
      <w:r>
        <w:rPr>
          <w:rFonts w:ascii="Times New Roman" w:hAnsi="Times New Roman" w:cs="Times New Roman"/>
        </w:rPr>
        <w:t>21.1</w:t>
      </w:r>
      <w:r>
        <w:rPr>
          <w:rFonts w:hint="default" w:ascii="Times New Roman" w:hAnsi="Times New Roman" w:cs="Times New Roman"/>
        </w:rPr>
        <w:t xml:space="preserve"> </w:t>
      </w:r>
      <w:r>
        <w:rPr>
          <w:rFonts w:ascii="Times New Roman" w:hAnsi="Times New Roman" w:cs="Times New Roman"/>
        </w:rPr>
        <w:t>Employment of civil engineering and surveying, geodesy, cartography, construction design, construction works, construction material production, the state administrative body in charge of civil matters legal entity engaged in construction activities in the budget estimates meet the requirements set forth in Section 21.2 of this Article subject that constitute proof of registration. Registration can be done electronically.</w:t>
      </w:r>
    </w:p>
    <w:p>
      <w:pPr>
        <w:pStyle w:val="9"/>
        <w:rPr>
          <w:rFonts w:hint="eastAsia"/>
        </w:rPr>
      </w:pPr>
      <w:r>
        <w:rPr>
          <w:rFonts w:ascii="Times New Roman" w:hAnsi="Times New Roman" w:cs="Times New Roman"/>
        </w:rPr>
        <w:t>21.2. Individuals and legal entities operating in areas referred to in Article 21.1 shall be approved by the cabinet member in charge of construction requirements according to the classification and documentation and registration procedures set forth in Article 10 of this Law.</w:t>
      </w:r>
    </w:p>
  </w:footnote>
  <w:footnote w:id="10">
    <w:p>
      <w:pPr>
        <w:pStyle w:val="9"/>
      </w:pPr>
      <w:r>
        <w:rPr>
          <w:rStyle w:val="18"/>
          <w:rFonts w:ascii="Times New Roman" w:hAnsi="Times New Roman" w:eastAsia="仿宋" w:cs="Times New Roman"/>
        </w:rPr>
        <w:footnoteRef/>
      </w:r>
      <w:r>
        <w:rPr>
          <w:rFonts w:ascii="Times New Roman" w:hAnsi="Times New Roman" w:eastAsia="仿宋" w:cs="Times New Roman"/>
        </w:rPr>
        <w:t xml:space="preserve"> 参见商务部：对外投资合作国别（地区）指南——蒙古国（2018年版）》，第42页。</w:t>
      </w:r>
    </w:p>
  </w:footnote>
  <w:footnote w:id="11">
    <w:p>
      <w:pPr>
        <w:pStyle w:val="9"/>
        <w:rPr>
          <w:rFonts w:ascii="Times New Roman" w:hAnsi="Times New Roman" w:eastAsia="仿宋" w:cs="Times New Roman"/>
        </w:rPr>
      </w:pPr>
      <w:r>
        <w:rPr>
          <w:rStyle w:val="18"/>
          <w:rFonts w:ascii="Times New Roman" w:hAnsi="Times New Roman" w:eastAsia="仿宋" w:cs="Times New Roman"/>
        </w:rPr>
        <w:footnoteRef/>
      </w:r>
      <w:r>
        <w:rPr>
          <w:rFonts w:ascii="Times New Roman" w:hAnsi="Times New Roman" w:eastAsia="仿宋" w:cs="Times New Roman"/>
        </w:rPr>
        <w:t xml:space="preserve"> 参见商务部：对外投资合作国别（地区）指南——蒙古国（2018年版）》，第40-41页。</w:t>
      </w:r>
    </w:p>
  </w:footnote>
  <w:footnote w:id="12">
    <w:p>
      <w:pPr>
        <w:pStyle w:val="9"/>
      </w:pPr>
      <w:r>
        <w:rPr>
          <w:rStyle w:val="18"/>
          <w:rFonts w:ascii="Times New Roman" w:hAnsi="Times New Roman" w:eastAsia="仿宋" w:cs="Times New Roman"/>
        </w:rPr>
        <w:footnoteRef/>
      </w:r>
      <w:r>
        <w:rPr>
          <w:rFonts w:ascii="Times New Roman" w:hAnsi="Times New Roman" w:eastAsia="仿宋" w:cs="Times New Roman"/>
        </w:rPr>
        <w:t xml:space="preserve"> 根据蒙古国《投资法》第3.1.11条规定，“外国国有法人”是指公司50%及以上股份被外国国家直接或间接持有的法人。</w:t>
      </w:r>
    </w:p>
  </w:footnote>
  <w:footnote w:id="13">
    <w:p>
      <w:pPr>
        <w:pStyle w:val="9"/>
        <w:rPr>
          <w:rFonts w:ascii="Times New Roman" w:hAnsi="Times New Roman" w:eastAsia="仿宋" w:cs="Times New Roman"/>
        </w:rPr>
      </w:pPr>
      <w:r>
        <w:rPr>
          <w:rStyle w:val="18"/>
          <w:rFonts w:ascii="Times New Roman" w:hAnsi="Times New Roman" w:eastAsia="仿宋" w:cs="Times New Roman"/>
        </w:rPr>
        <w:footnoteRef/>
      </w:r>
      <w:r>
        <w:rPr>
          <w:rFonts w:ascii="Times New Roman" w:hAnsi="Times New Roman" w:eastAsia="仿宋" w:cs="Times New Roman"/>
        </w:rPr>
        <w:t xml:space="preserve"> 参见商务部：对外投资合作国别（地区）指南——蒙古国（2018年版）》，第13页。</w:t>
      </w:r>
    </w:p>
  </w:footnote>
  <w:footnote w:id="14">
    <w:p>
      <w:pPr>
        <w:pStyle w:val="9"/>
        <w:rPr>
          <w:rFonts w:ascii="Times New Roman" w:hAnsi="Times New Roman" w:eastAsia="仿宋" w:cs="Times New Roman"/>
        </w:rPr>
      </w:pPr>
      <w:r>
        <w:rPr>
          <w:rStyle w:val="18"/>
          <w:rFonts w:ascii="Times New Roman" w:hAnsi="Times New Roman" w:eastAsia="仿宋" w:cs="Times New Roman"/>
        </w:rPr>
        <w:footnoteRef/>
      </w:r>
      <w:r>
        <w:rPr>
          <w:rFonts w:ascii="Times New Roman" w:hAnsi="Times New Roman" w:eastAsia="仿宋" w:cs="Times New Roman"/>
        </w:rPr>
        <w:t xml:space="preserve"> 参见商务部：对外投资合作国别（地区）指南——蒙古国（2018年版）》，第30页。</w:t>
      </w:r>
    </w:p>
  </w:footnote>
  <w:footnote w:id="15">
    <w:p>
      <w:pPr>
        <w:pStyle w:val="9"/>
        <w:rPr>
          <w:rFonts w:ascii="Times New Roman" w:hAnsi="Times New Roman" w:cs="Times New Roman"/>
        </w:rPr>
      </w:pPr>
      <w:r>
        <w:rPr>
          <w:rStyle w:val="18"/>
          <w:rFonts w:ascii="Times New Roman" w:hAnsi="Times New Roman" w:eastAsia="仿宋" w:cs="Times New Roman"/>
        </w:rPr>
        <w:footnoteRef/>
      </w:r>
      <w:r>
        <w:rPr>
          <w:rFonts w:ascii="Times New Roman" w:hAnsi="Times New Roman" w:eastAsia="仿宋" w:cs="Times New Roman"/>
        </w:rPr>
        <w:t xml:space="preserve"> See </w:t>
      </w:r>
      <w:r>
        <w:rPr>
          <w:rFonts w:ascii="Times New Roman" w:hAnsi="Times New Roman" w:eastAsia="仿宋" w:cs="Times New Roman"/>
          <w:bCs/>
        </w:rPr>
        <w:t>Alstom Power Italia SpA and Alstom SpA v. Republic of Mongolia, ICSID Case No. ARB/04/10</w:t>
      </w:r>
      <w:r>
        <w:rPr>
          <w:rFonts w:ascii="Times New Roman" w:hAnsi="Times New Roman" w:eastAsia="仿宋" w:cs="Times New Roman"/>
        </w:rPr>
        <w:t>, registered on Marchh 18, 2004.</w:t>
      </w:r>
    </w:p>
  </w:footnote>
  <w:footnote w:id="16">
    <w:p>
      <w:pPr>
        <w:pStyle w:val="9"/>
        <w:rPr>
          <w:rFonts w:hint="eastAsia" w:ascii="仿宋" w:hAnsi="仿宋" w:eastAsia="仿宋"/>
        </w:rPr>
      </w:pPr>
      <w:r>
        <w:rPr>
          <w:rStyle w:val="18"/>
        </w:rPr>
        <w:footnoteRef/>
      </w:r>
      <w:r>
        <w:t xml:space="preserve"> </w:t>
      </w:r>
      <w:r>
        <w:rPr>
          <w:rFonts w:hint="eastAsia" w:ascii="仿宋" w:hAnsi="仿宋" w:eastAsia="仿宋"/>
        </w:rPr>
        <w:t>《</w:t>
      </w:r>
      <w:r>
        <w:rPr>
          <w:rFonts w:ascii="仿宋" w:hAnsi="仿宋" w:eastAsia="仿宋"/>
        </w:rPr>
        <w:t>能源宪章条约</w:t>
      </w:r>
      <w:r>
        <w:rPr>
          <w:rFonts w:hint="eastAsia" w:ascii="仿宋" w:hAnsi="仿宋" w:eastAsia="仿宋"/>
        </w:rPr>
        <w:t>》</w:t>
      </w:r>
      <w:r>
        <w:rPr>
          <w:rFonts w:ascii="仿宋" w:hAnsi="仿宋" w:eastAsia="仿宋"/>
        </w:rPr>
        <w:t>第26（4）</w:t>
      </w:r>
      <w:r>
        <w:rPr>
          <w:rFonts w:hint="eastAsia" w:ascii="仿宋" w:hAnsi="仿宋" w:eastAsia="仿宋"/>
        </w:rPr>
        <w:t>（a）</w:t>
      </w:r>
      <w:r>
        <w:rPr>
          <w:rFonts w:ascii="仿宋" w:hAnsi="仿宋" w:eastAsia="仿宋"/>
        </w:rPr>
        <w:t>条规定</w:t>
      </w:r>
      <w:r>
        <w:rPr>
          <w:rFonts w:hint="eastAsia" w:ascii="仿宋" w:hAnsi="仿宋" w:eastAsia="仿宋"/>
        </w:rPr>
        <w:t>：</w:t>
      </w:r>
    </w:p>
    <w:p>
      <w:pPr>
        <w:pStyle w:val="9"/>
        <w:rPr>
          <w:rFonts w:hint="eastAsia" w:ascii="仿宋" w:hAnsi="仿宋" w:eastAsia="仿宋"/>
        </w:rPr>
      </w:pPr>
      <w:r>
        <w:rPr>
          <w:rFonts w:hint="eastAsia" w:ascii="仿宋" w:hAnsi="仿宋" w:eastAsia="仿宋"/>
        </w:rPr>
        <w:t>“如果投资者选择根据第（2）（c）项提交解决争议，投资者应为争议进一步提供其书面同意，提交到：</w:t>
      </w:r>
    </w:p>
    <w:p>
      <w:pPr>
        <w:pStyle w:val="9"/>
        <w:rPr>
          <w:rFonts w:hint="eastAsia" w:ascii="仿宋" w:hAnsi="仿宋" w:eastAsia="仿宋"/>
        </w:rPr>
      </w:pPr>
      <w:r>
        <w:rPr>
          <w:rFonts w:hint="eastAsia" w:ascii="仿宋" w:hAnsi="仿宋" w:eastAsia="仿宋"/>
        </w:rPr>
        <w:t>（a）（i）解决投资争端国际中心，该中心依据解决各国和其他国家国民之间投资争端的公约（以下简称“ICSID公约”）于1965年3月18日在华盛顿公开签署，如果投资者的缔约方和争议方的缔约方都是ICSID公约的成员；或</w:t>
      </w:r>
    </w:p>
    <w:p>
      <w:pPr>
        <w:pStyle w:val="9"/>
        <w:rPr>
          <w:rFonts w:hint="eastAsia"/>
        </w:rPr>
      </w:pPr>
      <w:r>
        <w:rPr>
          <w:rFonts w:hint="eastAsia" w:ascii="仿宋" w:hAnsi="仿宋" w:eastAsia="仿宋"/>
        </w:rPr>
        <w:t>(ii)依据（a）（i）项所提公约建立的解决投资争端国际中心，按照该中心秘书处管理《程序管理附加便利》的规则（以下简称“附加便利规则”），如果投资者的缔约方或争议方的缔约方其中一方是ICSID公约的成员。”</w:t>
      </w:r>
    </w:p>
  </w:footnote>
  <w:footnote w:id="17">
    <w:p>
      <w:pPr>
        <w:pStyle w:val="9"/>
      </w:pPr>
      <w:r>
        <w:rPr>
          <w:rStyle w:val="18"/>
          <w:rFonts w:ascii="Times New Roman" w:hAnsi="Times New Roman" w:cs="Times New Roman"/>
        </w:rPr>
        <w:footnoteRef/>
      </w:r>
      <w:r>
        <w:rPr>
          <w:rFonts w:ascii="Times New Roman" w:hAnsi="Times New Roman" w:cs="Times New Roman"/>
        </w:rPr>
        <w:t xml:space="preserve"> Beijing Shougang Mining Investment Company Ltd., China Heilongjiang International Economic &amp; Technical Cooperative Corp., and Qinhuangdaoshi Qinlong International Industrial Co. Ltd. v. Mongolia, PCA Case No. 2010-20, Award</w:t>
      </w:r>
      <w:r>
        <w:rPr>
          <w:rFonts w:hint="eastAsia" w:ascii="Times New Roman" w:hAnsi="Times New Roman" w:cs="Times New Roman"/>
        </w:rPr>
        <w:t xml:space="preserve"> on</w:t>
      </w:r>
      <w:r>
        <w:rPr>
          <w:rFonts w:ascii="Times New Roman" w:hAnsi="Times New Roman" w:cs="Times New Roman"/>
        </w:rPr>
        <w:t xml:space="preserve"> 30 June 2017.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930688B"/>
    <w:multiLevelType w:val="multilevel"/>
    <w:tmpl w:val="4930688B"/>
    <w:lvl w:ilvl="0" w:tentative="0">
      <w:start w:val="1"/>
      <w:numFmt w:val="chineseCountingThousand"/>
      <w:lvlText w:val="%1、"/>
      <w:lvlJc w:val="left"/>
      <w:pPr>
        <w:ind w:left="720" w:hanging="720"/>
      </w:pPr>
      <w:rPr>
        <w:rFonts w:hint="eastAsia"/>
      </w:rPr>
    </w:lvl>
    <w:lvl w:ilvl="1" w:tentative="0">
      <w:start w:val="1"/>
      <w:numFmt w:val="lowerLetter"/>
      <w:lvlText w:val="%2)"/>
      <w:lvlJc w:val="left"/>
      <w:pPr>
        <w:ind w:left="960" w:hanging="480"/>
      </w:pPr>
    </w:lvl>
    <w:lvl w:ilvl="2" w:tentative="0">
      <w:start w:val="1"/>
      <w:numFmt w:val="lowerRoman"/>
      <w:lvlText w:val="%3."/>
      <w:lvlJc w:val="right"/>
      <w:pPr>
        <w:ind w:left="1440" w:hanging="480"/>
      </w:pPr>
    </w:lvl>
    <w:lvl w:ilvl="3" w:tentative="0">
      <w:start w:val="1"/>
      <w:numFmt w:val="decimal"/>
      <w:lvlText w:val="%4."/>
      <w:lvlJc w:val="left"/>
      <w:pPr>
        <w:ind w:left="1920" w:hanging="480"/>
      </w:pPr>
    </w:lvl>
    <w:lvl w:ilvl="4" w:tentative="0">
      <w:start w:val="1"/>
      <w:numFmt w:val="lowerLetter"/>
      <w:lvlText w:val="%5)"/>
      <w:lvlJc w:val="left"/>
      <w:pPr>
        <w:ind w:left="2400" w:hanging="480"/>
      </w:pPr>
    </w:lvl>
    <w:lvl w:ilvl="5" w:tentative="0">
      <w:start w:val="1"/>
      <w:numFmt w:val="lowerRoman"/>
      <w:lvlText w:val="%6."/>
      <w:lvlJc w:val="right"/>
      <w:pPr>
        <w:ind w:left="2880" w:hanging="480"/>
      </w:pPr>
    </w:lvl>
    <w:lvl w:ilvl="6" w:tentative="0">
      <w:start w:val="1"/>
      <w:numFmt w:val="decimal"/>
      <w:lvlText w:val="%7."/>
      <w:lvlJc w:val="left"/>
      <w:pPr>
        <w:ind w:left="3360" w:hanging="480"/>
      </w:pPr>
    </w:lvl>
    <w:lvl w:ilvl="7" w:tentative="0">
      <w:start w:val="1"/>
      <w:numFmt w:val="lowerLetter"/>
      <w:lvlText w:val="%8)"/>
      <w:lvlJc w:val="left"/>
      <w:pPr>
        <w:ind w:left="3840" w:hanging="480"/>
      </w:pPr>
    </w:lvl>
    <w:lvl w:ilvl="8" w:tentative="0">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4"/>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36"/>
    <w:footnote w:id="37"/>
  </w:footnotePr>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7677"/>
    <w:rsid w:val="00000BCA"/>
    <w:rsid w:val="00001143"/>
    <w:rsid w:val="000012DC"/>
    <w:rsid w:val="0000160A"/>
    <w:rsid w:val="000022F2"/>
    <w:rsid w:val="000025D8"/>
    <w:rsid w:val="000026BA"/>
    <w:rsid w:val="000028BF"/>
    <w:rsid w:val="00002E47"/>
    <w:rsid w:val="000031FF"/>
    <w:rsid w:val="0000372B"/>
    <w:rsid w:val="000040E0"/>
    <w:rsid w:val="00004360"/>
    <w:rsid w:val="000048A1"/>
    <w:rsid w:val="00004EE3"/>
    <w:rsid w:val="000055EA"/>
    <w:rsid w:val="00006258"/>
    <w:rsid w:val="000062FA"/>
    <w:rsid w:val="0000630E"/>
    <w:rsid w:val="000068D7"/>
    <w:rsid w:val="00006E60"/>
    <w:rsid w:val="000075CF"/>
    <w:rsid w:val="00007626"/>
    <w:rsid w:val="00007696"/>
    <w:rsid w:val="00007DF1"/>
    <w:rsid w:val="00007F69"/>
    <w:rsid w:val="00010547"/>
    <w:rsid w:val="000115EA"/>
    <w:rsid w:val="00011741"/>
    <w:rsid w:val="00011983"/>
    <w:rsid w:val="00011BD2"/>
    <w:rsid w:val="00011EBB"/>
    <w:rsid w:val="0001350C"/>
    <w:rsid w:val="00013551"/>
    <w:rsid w:val="000138D1"/>
    <w:rsid w:val="00013C6E"/>
    <w:rsid w:val="00013E53"/>
    <w:rsid w:val="000153F2"/>
    <w:rsid w:val="00015855"/>
    <w:rsid w:val="00015A33"/>
    <w:rsid w:val="00015F0E"/>
    <w:rsid w:val="00016141"/>
    <w:rsid w:val="00016B01"/>
    <w:rsid w:val="00016E09"/>
    <w:rsid w:val="000200B2"/>
    <w:rsid w:val="00021062"/>
    <w:rsid w:val="00021A45"/>
    <w:rsid w:val="00021EB3"/>
    <w:rsid w:val="000222BC"/>
    <w:rsid w:val="0002265A"/>
    <w:rsid w:val="00022B15"/>
    <w:rsid w:val="0002360A"/>
    <w:rsid w:val="00023CFF"/>
    <w:rsid w:val="00023F4C"/>
    <w:rsid w:val="00024253"/>
    <w:rsid w:val="0002431A"/>
    <w:rsid w:val="00025BB6"/>
    <w:rsid w:val="00025C1C"/>
    <w:rsid w:val="00025DFC"/>
    <w:rsid w:val="00025F68"/>
    <w:rsid w:val="00026225"/>
    <w:rsid w:val="00026A39"/>
    <w:rsid w:val="000272E3"/>
    <w:rsid w:val="0002759F"/>
    <w:rsid w:val="000275B1"/>
    <w:rsid w:val="00027830"/>
    <w:rsid w:val="000302ED"/>
    <w:rsid w:val="00030432"/>
    <w:rsid w:val="00030F48"/>
    <w:rsid w:val="00031E78"/>
    <w:rsid w:val="00031FED"/>
    <w:rsid w:val="00032325"/>
    <w:rsid w:val="000328A7"/>
    <w:rsid w:val="00033330"/>
    <w:rsid w:val="00033493"/>
    <w:rsid w:val="00033B84"/>
    <w:rsid w:val="00034657"/>
    <w:rsid w:val="00034E37"/>
    <w:rsid w:val="00035338"/>
    <w:rsid w:val="00035B01"/>
    <w:rsid w:val="00035D54"/>
    <w:rsid w:val="00036735"/>
    <w:rsid w:val="00036779"/>
    <w:rsid w:val="00036CA2"/>
    <w:rsid w:val="000371D7"/>
    <w:rsid w:val="000377D5"/>
    <w:rsid w:val="00037A0A"/>
    <w:rsid w:val="00037A84"/>
    <w:rsid w:val="00037C8B"/>
    <w:rsid w:val="00037E9D"/>
    <w:rsid w:val="00040495"/>
    <w:rsid w:val="000408F9"/>
    <w:rsid w:val="00040C68"/>
    <w:rsid w:val="00042343"/>
    <w:rsid w:val="0004376B"/>
    <w:rsid w:val="000437CF"/>
    <w:rsid w:val="00043E74"/>
    <w:rsid w:val="00043FCD"/>
    <w:rsid w:val="000442F5"/>
    <w:rsid w:val="00044544"/>
    <w:rsid w:val="00044D49"/>
    <w:rsid w:val="00046975"/>
    <w:rsid w:val="00047D6B"/>
    <w:rsid w:val="000506E3"/>
    <w:rsid w:val="00050CF5"/>
    <w:rsid w:val="00050E7F"/>
    <w:rsid w:val="0005153B"/>
    <w:rsid w:val="000524CC"/>
    <w:rsid w:val="00052C1F"/>
    <w:rsid w:val="00052E45"/>
    <w:rsid w:val="0005476E"/>
    <w:rsid w:val="00054F95"/>
    <w:rsid w:val="00055B99"/>
    <w:rsid w:val="00055CAC"/>
    <w:rsid w:val="00056004"/>
    <w:rsid w:val="000564C7"/>
    <w:rsid w:val="0005661D"/>
    <w:rsid w:val="000601A1"/>
    <w:rsid w:val="0006038D"/>
    <w:rsid w:val="00060540"/>
    <w:rsid w:val="00061B9A"/>
    <w:rsid w:val="00061F81"/>
    <w:rsid w:val="00062282"/>
    <w:rsid w:val="00062A11"/>
    <w:rsid w:val="0006309E"/>
    <w:rsid w:val="00063B6F"/>
    <w:rsid w:val="00063CBD"/>
    <w:rsid w:val="00064025"/>
    <w:rsid w:val="000643D6"/>
    <w:rsid w:val="0006458C"/>
    <w:rsid w:val="00064C32"/>
    <w:rsid w:val="00064D0D"/>
    <w:rsid w:val="00065BA3"/>
    <w:rsid w:val="0006676C"/>
    <w:rsid w:val="00066D37"/>
    <w:rsid w:val="0006799B"/>
    <w:rsid w:val="00070B89"/>
    <w:rsid w:val="00070FCB"/>
    <w:rsid w:val="000710EE"/>
    <w:rsid w:val="0007183A"/>
    <w:rsid w:val="00071C88"/>
    <w:rsid w:val="00071F88"/>
    <w:rsid w:val="00071F94"/>
    <w:rsid w:val="0007214E"/>
    <w:rsid w:val="00072602"/>
    <w:rsid w:val="00072A1B"/>
    <w:rsid w:val="00072C70"/>
    <w:rsid w:val="00072CFB"/>
    <w:rsid w:val="00072E43"/>
    <w:rsid w:val="000740A8"/>
    <w:rsid w:val="000742E0"/>
    <w:rsid w:val="000743F1"/>
    <w:rsid w:val="0007481B"/>
    <w:rsid w:val="0007549C"/>
    <w:rsid w:val="00075A73"/>
    <w:rsid w:val="00075A79"/>
    <w:rsid w:val="00076326"/>
    <w:rsid w:val="00077567"/>
    <w:rsid w:val="00077D3E"/>
    <w:rsid w:val="00077EE5"/>
    <w:rsid w:val="000800E2"/>
    <w:rsid w:val="000818EB"/>
    <w:rsid w:val="000828DC"/>
    <w:rsid w:val="00082DCB"/>
    <w:rsid w:val="00083015"/>
    <w:rsid w:val="000841C3"/>
    <w:rsid w:val="00084318"/>
    <w:rsid w:val="00084724"/>
    <w:rsid w:val="00084911"/>
    <w:rsid w:val="00084F97"/>
    <w:rsid w:val="00086659"/>
    <w:rsid w:val="00086B94"/>
    <w:rsid w:val="00086DDA"/>
    <w:rsid w:val="000900D3"/>
    <w:rsid w:val="00090195"/>
    <w:rsid w:val="00091412"/>
    <w:rsid w:val="00091529"/>
    <w:rsid w:val="000917F0"/>
    <w:rsid w:val="00091A75"/>
    <w:rsid w:val="00091DE4"/>
    <w:rsid w:val="00092E7E"/>
    <w:rsid w:val="00093063"/>
    <w:rsid w:val="000933F8"/>
    <w:rsid w:val="00093901"/>
    <w:rsid w:val="00093F6B"/>
    <w:rsid w:val="00094596"/>
    <w:rsid w:val="0009476A"/>
    <w:rsid w:val="00094F85"/>
    <w:rsid w:val="00095C12"/>
    <w:rsid w:val="00096392"/>
    <w:rsid w:val="000963B6"/>
    <w:rsid w:val="00096C6F"/>
    <w:rsid w:val="00096CDE"/>
    <w:rsid w:val="00096EBF"/>
    <w:rsid w:val="00097783"/>
    <w:rsid w:val="000977E2"/>
    <w:rsid w:val="000978B1"/>
    <w:rsid w:val="000A0495"/>
    <w:rsid w:val="000A0985"/>
    <w:rsid w:val="000A0CCF"/>
    <w:rsid w:val="000A2E7F"/>
    <w:rsid w:val="000A437C"/>
    <w:rsid w:val="000A4BD0"/>
    <w:rsid w:val="000A5287"/>
    <w:rsid w:val="000A6230"/>
    <w:rsid w:val="000A641C"/>
    <w:rsid w:val="000A686A"/>
    <w:rsid w:val="000A739B"/>
    <w:rsid w:val="000A748E"/>
    <w:rsid w:val="000A76DF"/>
    <w:rsid w:val="000B0321"/>
    <w:rsid w:val="000B03A8"/>
    <w:rsid w:val="000B0528"/>
    <w:rsid w:val="000B1263"/>
    <w:rsid w:val="000B1557"/>
    <w:rsid w:val="000B1A66"/>
    <w:rsid w:val="000B241F"/>
    <w:rsid w:val="000B2559"/>
    <w:rsid w:val="000B344D"/>
    <w:rsid w:val="000B3F1C"/>
    <w:rsid w:val="000B40A3"/>
    <w:rsid w:val="000B52CC"/>
    <w:rsid w:val="000B5578"/>
    <w:rsid w:val="000B57D0"/>
    <w:rsid w:val="000B5811"/>
    <w:rsid w:val="000B5970"/>
    <w:rsid w:val="000B5BDF"/>
    <w:rsid w:val="000B60D7"/>
    <w:rsid w:val="000B6133"/>
    <w:rsid w:val="000B736F"/>
    <w:rsid w:val="000B77EB"/>
    <w:rsid w:val="000B791C"/>
    <w:rsid w:val="000B7F92"/>
    <w:rsid w:val="000C030D"/>
    <w:rsid w:val="000C06E6"/>
    <w:rsid w:val="000C1758"/>
    <w:rsid w:val="000C18EC"/>
    <w:rsid w:val="000C1C3F"/>
    <w:rsid w:val="000C215A"/>
    <w:rsid w:val="000C25B0"/>
    <w:rsid w:val="000C2C15"/>
    <w:rsid w:val="000C2FCF"/>
    <w:rsid w:val="000C30B6"/>
    <w:rsid w:val="000C37B8"/>
    <w:rsid w:val="000C3ACB"/>
    <w:rsid w:val="000C3F76"/>
    <w:rsid w:val="000C46DA"/>
    <w:rsid w:val="000C4E9A"/>
    <w:rsid w:val="000C5240"/>
    <w:rsid w:val="000C5B9D"/>
    <w:rsid w:val="000C66E8"/>
    <w:rsid w:val="000C6951"/>
    <w:rsid w:val="000C6E82"/>
    <w:rsid w:val="000C71FA"/>
    <w:rsid w:val="000C73AD"/>
    <w:rsid w:val="000C7CB8"/>
    <w:rsid w:val="000D18A7"/>
    <w:rsid w:val="000D1CB3"/>
    <w:rsid w:val="000D2BE6"/>
    <w:rsid w:val="000D3092"/>
    <w:rsid w:val="000D36C9"/>
    <w:rsid w:val="000D3A31"/>
    <w:rsid w:val="000D4F81"/>
    <w:rsid w:val="000D590F"/>
    <w:rsid w:val="000D6F3D"/>
    <w:rsid w:val="000D7CEA"/>
    <w:rsid w:val="000D7F94"/>
    <w:rsid w:val="000E0632"/>
    <w:rsid w:val="000E09B0"/>
    <w:rsid w:val="000E09CB"/>
    <w:rsid w:val="000E135F"/>
    <w:rsid w:val="000E17DE"/>
    <w:rsid w:val="000E1941"/>
    <w:rsid w:val="000E2E42"/>
    <w:rsid w:val="000E44C2"/>
    <w:rsid w:val="000E490B"/>
    <w:rsid w:val="000E4AB0"/>
    <w:rsid w:val="000E549B"/>
    <w:rsid w:val="000E59B9"/>
    <w:rsid w:val="000E5DF3"/>
    <w:rsid w:val="000E669E"/>
    <w:rsid w:val="000E6D59"/>
    <w:rsid w:val="000E7264"/>
    <w:rsid w:val="000E7411"/>
    <w:rsid w:val="000E7811"/>
    <w:rsid w:val="000F0890"/>
    <w:rsid w:val="000F1242"/>
    <w:rsid w:val="000F159E"/>
    <w:rsid w:val="000F2183"/>
    <w:rsid w:val="000F220F"/>
    <w:rsid w:val="000F24CC"/>
    <w:rsid w:val="000F253C"/>
    <w:rsid w:val="000F2E75"/>
    <w:rsid w:val="000F2F0B"/>
    <w:rsid w:val="000F31F8"/>
    <w:rsid w:val="000F3693"/>
    <w:rsid w:val="000F4207"/>
    <w:rsid w:val="000F4D16"/>
    <w:rsid w:val="000F56E0"/>
    <w:rsid w:val="000F581A"/>
    <w:rsid w:val="000F5D10"/>
    <w:rsid w:val="000F69A0"/>
    <w:rsid w:val="001004BD"/>
    <w:rsid w:val="0010068D"/>
    <w:rsid w:val="00100695"/>
    <w:rsid w:val="001006C9"/>
    <w:rsid w:val="0010083C"/>
    <w:rsid w:val="0010099E"/>
    <w:rsid w:val="00100C4E"/>
    <w:rsid w:val="00100C66"/>
    <w:rsid w:val="00101134"/>
    <w:rsid w:val="0010121C"/>
    <w:rsid w:val="001013F6"/>
    <w:rsid w:val="00101A21"/>
    <w:rsid w:val="00101E3B"/>
    <w:rsid w:val="001022F0"/>
    <w:rsid w:val="00102A5D"/>
    <w:rsid w:val="001030F5"/>
    <w:rsid w:val="001030FB"/>
    <w:rsid w:val="001036E7"/>
    <w:rsid w:val="00103F9F"/>
    <w:rsid w:val="00104B13"/>
    <w:rsid w:val="00104E3F"/>
    <w:rsid w:val="00105133"/>
    <w:rsid w:val="00105762"/>
    <w:rsid w:val="00106426"/>
    <w:rsid w:val="00106ECD"/>
    <w:rsid w:val="00107F2A"/>
    <w:rsid w:val="00110A64"/>
    <w:rsid w:val="001111AB"/>
    <w:rsid w:val="00111201"/>
    <w:rsid w:val="001119F2"/>
    <w:rsid w:val="00111D45"/>
    <w:rsid w:val="00111E64"/>
    <w:rsid w:val="00113AE9"/>
    <w:rsid w:val="00115D05"/>
    <w:rsid w:val="001168DD"/>
    <w:rsid w:val="00116D6F"/>
    <w:rsid w:val="001173BC"/>
    <w:rsid w:val="0011752A"/>
    <w:rsid w:val="00117BAC"/>
    <w:rsid w:val="00120B7B"/>
    <w:rsid w:val="001213B8"/>
    <w:rsid w:val="00121991"/>
    <w:rsid w:val="0012311F"/>
    <w:rsid w:val="001240E1"/>
    <w:rsid w:val="00124150"/>
    <w:rsid w:val="0012421C"/>
    <w:rsid w:val="00124D8C"/>
    <w:rsid w:val="001250CB"/>
    <w:rsid w:val="001261E9"/>
    <w:rsid w:val="00126850"/>
    <w:rsid w:val="0012705D"/>
    <w:rsid w:val="001279F6"/>
    <w:rsid w:val="00130999"/>
    <w:rsid w:val="00130D4F"/>
    <w:rsid w:val="00131C4E"/>
    <w:rsid w:val="00131DCA"/>
    <w:rsid w:val="001324D3"/>
    <w:rsid w:val="00133593"/>
    <w:rsid w:val="00134BAA"/>
    <w:rsid w:val="00135043"/>
    <w:rsid w:val="001357AF"/>
    <w:rsid w:val="00135A4F"/>
    <w:rsid w:val="00135F92"/>
    <w:rsid w:val="0013690A"/>
    <w:rsid w:val="00136EB4"/>
    <w:rsid w:val="0013747A"/>
    <w:rsid w:val="0013760F"/>
    <w:rsid w:val="00140B10"/>
    <w:rsid w:val="00140F74"/>
    <w:rsid w:val="00141051"/>
    <w:rsid w:val="00142FED"/>
    <w:rsid w:val="001434D5"/>
    <w:rsid w:val="00143F19"/>
    <w:rsid w:val="001441C4"/>
    <w:rsid w:val="00144BB4"/>
    <w:rsid w:val="00144FB3"/>
    <w:rsid w:val="00146403"/>
    <w:rsid w:val="00147405"/>
    <w:rsid w:val="0014777C"/>
    <w:rsid w:val="0014783D"/>
    <w:rsid w:val="00147C22"/>
    <w:rsid w:val="00147D5C"/>
    <w:rsid w:val="00147DB3"/>
    <w:rsid w:val="001509BA"/>
    <w:rsid w:val="00150E56"/>
    <w:rsid w:val="0015174B"/>
    <w:rsid w:val="001518F7"/>
    <w:rsid w:val="00152CD7"/>
    <w:rsid w:val="00153E91"/>
    <w:rsid w:val="001540D0"/>
    <w:rsid w:val="001545C2"/>
    <w:rsid w:val="0015481F"/>
    <w:rsid w:val="00154E07"/>
    <w:rsid w:val="0015505F"/>
    <w:rsid w:val="001558C3"/>
    <w:rsid w:val="00156598"/>
    <w:rsid w:val="001570B5"/>
    <w:rsid w:val="00157B4E"/>
    <w:rsid w:val="00161BDD"/>
    <w:rsid w:val="00162478"/>
    <w:rsid w:val="00162D73"/>
    <w:rsid w:val="00163135"/>
    <w:rsid w:val="001637BE"/>
    <w:rsid w:val="00163876"/>
    <w:rsid w:val="00163C74"/>
    <w:rsid w:val="0016414D"/>
    <w:rsid w:val="00164744"/>
    <w:rsid w:val="001654C2"/>
    <w:rsid w:val="00165654"/>
    <w:rsid w:val="00165685"/>
    <w:rsid w:val="001664AC"/>
    <w:rsid w:val="00166DEA"/>
    <w:rsid w:val="00167432"/>
    <w:rsid w:val="001674EA"/>
    <w:rsid w:val="0017049F"/>
    <w:rsid w:val="00173151"/>
    <w:rsid w:val="00173EC9"/>
    <w:rsid w:val="00174604"/>
    <w:rsid w:val="00175677"/>
    <w:rsid w:val="00175903"/>
    <w:rsid w:val="00175D13"/>
    <w:rsid w:val="0017652A"/>
    <w:rsid w:val="001765B7"/>
    <w:rsid w:val="001766C9"/>
    <w:rsid w:val="00176B9B"/>
    <w:rsid w:val="00177103"/>
    <w:rsid w:val="00177479"/>
    <w:rsid w:val="0017750A"/>
    <w:rsid w:val="00177F5F"/>
    <w:rsid w:val="00181BDA"/>
    <w:rsid w:val="001820E9"/>
    <w:rsid w:val="00182386"/>
    <w:rsid w:val="00184460"/>
    <w:rsid w:val="00184611"/>
    <w:rsid w:val="00184EEB"/>
    <w:rsid w:val="001854E0"/>
    <w:rsid w:val="001868F4"/>
    <w:rsid w:val="00187C0E"/>
    <w:rsid w:val="00187F80"/>
    <w:rsid w:val="001901BF"/>
    <w:rsid w:val="00191724"/>
    <w:rsid w:val="001924BA"/>
    <w:rsid w:val="00192789"/>
    <w:rsid w:val="00193052"/>
    <w:rsid w:val="00195857"/>
    <w:rsid w:val="001959BD"/>
    <w:rsid w:val="00195AE1"/>
    <w:rsid w:val="00195ED4"/>
    <w:rsid w:val="00197F02"/>
    <w:rsid w:val="00197F6E"/>
    <w:rsid w:val="001A18A3"/>
    <w:rsid w:val="001A1BA1"/>
    <w:rsid w:val="001A1CB5"/>
    <w:rsid w:val="001A1F16"/>
    <w:rsid w:val="001A2973"/>
    <w:rsid w:val="001A2B38"/>
    <w:rsid w:val="001A2C76"/>
    <w:rsid w:val="001A2CB0"/>
    <w:rsid w:val="001A2E45"/>
    <w:rsid w:val="001A2E67"/>
    <w:rsid w:val="001A3EF7"/>
    <w:rsid w:val="001A3FC6"/>
    <w:rsid w:val="001A4A49"/>
    <w:rsid w:val="001A549E"/>
    <w:rsid w:val="001A59AE"/>
    <w:rsid w:val="001A5F73"/>
    <w:rsid w:val="001A610D"/>
    <w:rsid w:val="001A77A9"/>
    <w:rsid w:val="001B10F6"/>
    <w:rsid w:val="001B150A"/>
    <w:rsid w:val="001B1538"/>
    <w:rsid w:val="001B1567"/>
    <w:rsid w:val="001B195C"/>
    <w:rsid w:val="001B21CA"/>
    <w:rsid w:val="001B23B0"/>
    <w:rsid w:val="001B251D"/>
    <w:rsid w:val="001B3860"/>
    <w:rsid w:val="001B3CA5"/>
    <w:rsid w:val="001B4233"/>
    <w:rsid w:val="001B4245"/>
    <w:rsid w:val="001B4928"/>
    <w:rsid w:val="001B4C7E"/>
    <w:rsid w:val="001B56DC"/>
    <w:rsid w:val="001B5F99"/>
    <w:rsid w:val="001B60A5"/>
    <w:rsid w:val="001B6633"/>
    <w:rsid w:val="001B6D99"/>
    <w:rsid w:val="001B757F"/>
    <w:rsid w:val="001B7F9E"/>
    <w:rsid w:val="001C00D8"/>
    <w:rsid w:val="001C0FFC"/>
    <w:rsid w:val="001C1192"/>
    <w:rsid w:val="001C1499"/>
    <w:rsid w:val="001C191D"/>
    <w:rsid w:val="001C1C2C"/>
    <w:rsid w:val="001C2650"/>
    <w:rsid w:val="001C2771"/>
    <w:rsid w:val="001C28C9"/>
    <w:rsid w:val="001C3298"/>
    <w:rsid w:val="001C3692"/>
    <w:rsid w:val="001C3AA0"/>
    <w:rsid w:val="001C4BE1"/>
    <w:rsid w:val="001C4C0E"/>
    <w:rsid w:val="001C51CA"/>
    <w:rsid w:val="001C5207"/>
    <w:rsid w:val="001C60CA"/>
    <w:rsid w:val="001C6A94"/>
    <w:rsid w:val="001C77F8"/>
    <w:rsid w:val="001C798D"/>
    <w:rsid w:val="001C7D55"/>
    <w:rsid w:val="001C7DE9"/>
    <w:rsid w:val="001C7E51"/>
    <w:rsid w:val="001D06D8"/>
    <w:rsid w:val="001D0DA1"/>
    <w:rsid w:val="001D14F1"/>
    <w:rsid w:val="001D223B"/>
    <w:rsid w:val="001D25B6"/>
    <w:rsid w:val="001D3261"/>
    <w:rsid w:val="001D35F2"/>
    <w:rsid w:val="001D400C"/>
    <w:rsid w:val="001D44CE"/>
    <w:rsid w:val="001D4F06"/>
    <w:rsid w:val="001D585A"/>
    <w:rsid w:val="001D5872"/>
    <w:rsid w:val="001D5C64"/>
    <w:rsid w:val="001D5C9C"/>
    <w:rsid w:val="001D61B5"/>
    <w:rsid w:val="001D6783"/>
    <w:rsid w:val="001D6A96"/>
    <w:rsid w:val="001D7B19"/>
    <w:rsid w:val="001D7D26"/>
    <w:rsid w:val="001D7F50"/>
    <w:rsid w:val="001E021D"/>
    <w:rsid w:val="001E0368"/>
    <w:rsid w:val="001E0EEE"/>
    <w:rsid w:val="001E1AAB"/>
    <w:rsid w:val="001E1D87"/>
    <w:rsid w:val="001E1DF6"/>
    <w:rsid w:val="001E27F4"/>
    <w:rsid w:val="001E4E1E"/>
    <w:rsid w:val="001E55FA"/>
    <w:rsid w:val="001E565D"/>
    <w:rsid w:val="001E5A7B"/>
    <w:rsid w:val="001E60F9"/>
    <w:rsid w:val="001E6836"/>
    <w:rsid w:val="001E74CC"/>
    <w:rsid w:val="001E7638"/>
    <w:rsid w:val="001E7BE4"/>
    <w:rsid w:val="001E7C9A"/>
    <w:rsid w:val="001E7CA1"/>
    <w:rsid w:val="001E7DF9"/>
    <w:rsid w:val="001F0610"/>
    <w:rsid w:val="001F0845"/>
    <w:rsid w:val="001F0AC3"/>
    <w:rsid w:val="001F0BAD"/>
    <w:rsid w:val="001F0E3B"/>
    <w:rsid w:val="001F0F4E"/>
    <w:rsid w:val="001F0FD8"/>
    <w:rsid w:val="001F1D11"/>
    <w:rsid w:val="001F2151"/>
    <w:rsid w:val="001F24E0"/>
    <w:rsid w:val="001F27C9"/>
    <w:rsid w:val="001F2EBA"/>
    <w:rsid w:val="001F332F"/>
    <w:rsid w:val="001F37B5"/>
    <w:rsid w:val="001F5098"/>
    <w:rsid w:val="001F546D"/>
    <w:rsid w:val="001F5591"/>
    <w:rsid w:val="001F5D54"/>
    <w:rsid w:val="001F60BE"/>
    <w:rsid w:val="001F6CFD"/>
    <w:rsid w:val="001F7BCB"/>
    <w:rsid w:val="002000DB"/>
    <w:rsid w:val="002003B5"/>
    <w:rsid w:val="002003D3"/>
    <w:rsid w:val="00200A50"/>
    <w:rsid w:val="00200A63"/>
    <w:rsid w:val="00200E2D"/>
    <w:rsid w:val="00201375"/>
    <w:rsid w:val="00201459"/>
    <w:rsid w:val="00201870"/>
    <w:rsid w:val="0020195F"/>
    <w:rsid w:val="00201B13"/>
    <w:rsid w:val="00201C4E"/>
    <w:rsid w:val="00201D75"/>
    <w:rsid w:val="0020253C"/>
    <w:rsid w:val="002029F8"/>
    <w:rsid w:val="00204175"/>
    <w:rsid w:val="00204803"/>
    <w:rsid w:val="002062D4"/>
    <w:rsid w:val="002069CA"/>
    <w:rsid w:val="00206ED5"/>
    <w:rsid w:val="0020795E"/>
    <w:rsid w:val="00207E9E"/>
    <w:rsid w:val="00210415"/>
    <w:rsid w:val="0021070E"/>
    <w:rsid w:val="00210B59"/>
    <w:rsid w:val="00211284"/>
    <w:rsid w:val="00211540"/>
    <w:rsid w:val="00211A95"/>
    <w:rsid w:val="00211AB8"/>
    <w:rsid w:val="00211D7F"/>
    <w:rsid w:val="00212B2A"/>
    <w:rsid w:val="00212CA8"/>
    <w:rsid w:val="00212FE7"/>
    <w:rsid w:val="002136C6"/>
    <w:rsid w:val="00214CD9"/>
    <w:rsid w:val="00216BCB"/>
    <w:rsid w:val="0021731D"/>
    <w:rsid w:val="002179D3"/>
    <w:rsid w:val="00217B0A"/>
    <w:rsid w:val="00217B8E"/>
    <w:rsid w:val="00220006"/>
    <w:rsid w:val="00221219"/>
    <w:rsid w:val="00221914"/>
    <w:rsid w:val="00221B3D"/>
    <w:rsid w:val="0022294C"/>
    <w:rsid w:val="00222B34"/>
    <w:rsid w:val="002233A5"/>
    <w:rsid w:val="002234C9"/>
    <w:rsid w:val="00223ACD"/>
    <w:rsid w:val="00223DCC"/>
    <w:rsid w:val="0022417E"/>
    <w:rsid w:val="00224CA3"/>
    <w:rsid w:val="00224E66"/>
    <w:rsid w:val="002261BE"/>
    <w:rsid w:val="002264B8"/>
    <w:rsid w:val="00226C61"/>
    <w:rsid w:val="002270EE"/>
    <w:rsid w:val="00227394"/>
    <w:rsid w:val="00227456"/>
    <w:rsid w:val="00227BC8"/>
    <w:rsid w:val="002302BE"/>
    <w:rsid w:val="002302D6"/>
    <w:rsid w:val="002310FC"/>
    <w:rsid w:val="00232228"/>
    <w:rsid w:val="002323C4"/>
    <w:rsid w:val="0023247C"/>
    <w:rsid w:val="00232FC7"/>
    <w:rsid w:val="00233726"/>
    <w:rsid w:val="00233BC8"/>
    <w:rsid w:val="00234A30"/>
    <w:rsid w:val="00234B94"/>
    <w:rsid w:val="00235E89"/>
    <w:rsid w:val="002364D7"/>
    <w:rsid w:val="002364DD"/>
    <w:rsid w:val="00236776"/>
    <w:rsid w:val="0023687A"/>
    <w:rsid w:val="00236E2F"/>
    <w:rsid w:val="00237205"/>
    <w:rsid w:val="00237B20"/>
    <w:rsid w:val="00240204"/>
    <w:rsid w:val="002404ED"/>
    <w:rsid w:val="002411E1"/>
    <w:rsid w:val="00241289"/>
    <w:rsid w:val="00241BD3"/>
    <w:rsid w:val="002421AC"/>
    <w:rsid w:val="002423EA"/>
    <w:rsid w:val="002427EB"/>
    <w:rsid w:val="00242FD5"/>
    <w:rsid w:val="002443C0"/>
    <w:rsid w:val="00245786"/>
    <w:rsid w:val="00247716"/>
    <w:rsid w:val="00247833"/>
    <w:rsid w:val="00247C6C"/>
    <w:rsid w:val="00250DC5"/>
    <w:rsid w:val="00251279"/>
    <w:rsid w:val="002528FD"/>
    <w:rsid w:val="00252B72"/>
    <w:rsid w:val="00253A28"/>
    <w:rsid w:val="00254620"/>
    <w:rsid w:val="00254C0E"/>
    <w:rsid w:val="00255FA2"/>
    <w:rsid w:val="00255FE6"/>
    <w:rsid w:val="00256A48"/>
    <w:rsid w:val="00256AF0"/>
    <w:rsid w:val="00257519"/>
    <w:rsid w:val="00260207"/>
    <w:rsid w:val="00260290"/>
    <w:rsid w:val="00260598"/>
    <w:rsid w:val="002616CE"/>
    <w:rsid w:val="00262790"/>
    <w:rsid w:val="002628EF"/>
    <w:rsid w:val="00263231"/>
    <w:rsid w:val="002640C1"/>
    <w:rsid w:val="002641E5"/>
    <w:rsid w:val="0026488C"/>
    <w:rsid w:val="00264A03"/>
    <w:rsid w:val="002651D4"/>
    <w:rsid w:val="00266496"/>
    <w:rsid w:val="002667D4"/>
    <w:rsid w:val="00266D39"/>
    <w:rsid w:val="002672B4"/>
    <w:rsid w:val="00267530"/>
    <w:rsid w:val="002700DF"/>
    <w:rsid w:val="00270E18"/>
    <w:rsid w:val="002713EA"/>
    <w:rsid w:val="00271640"/>
    <w:rsid w:val="002716FF"/>
    <w:rsid w:val="00271900"/>
    <w:rsid w:val="00271A0A"/>
    <w:rsid w:val="00271A5F"/>
    <w:rsid w:val="002722AB"/>
    <w:rsid w:val="00272306"/>
    <w:rsid w:val="0027241C"/>
    <w:rsid w:val="002727C5"/>
    <w:rsid w:val="0027287F"/>
    <w:rsid w:val="00272EEF"/>
    <w:rsid w:val="002730E6"/>
    <w:rsid w:val="00273273"/>
    <w:rsid w:val="00273E15"/>
    <w:rsid w:val="0027487E"/>
    <w:rsid w:val="00275393"/>
    <w:rsid w:val="0027557A"/>
    <w:rsid w:val="0027562B"/>
    <w:rsid w:val="00276450"/>
    <w:rsid w:val="00276548"/>
    <w:rsid w:val="00276949"/>
    <w:rsid w:val="002777D2"/>
    <w:rsid w:val="00277968"/>
    <w:rsid w:val="0028076C"/>
    <w:rsid w:val="00281232"/>
    <w:rsid w:val="002815CA"/>
    <w:rsid w:val="00281621"/>
    <w:rsid w:val="00281820"/>
    <w:rsid w:val="002819D3"/>
    <w:rsid w:val="002820DD"/>
    <w:rsid w:val="002822A0"/>
    <w:rsid w:val="00282728"/>
    <w:rsid w:val="00282EEE"/>
    <w:rsid w:val="00283BA9"/>
    <w:rsid w:val="00283D4E"/>
    <w:rsid w:val="002844E9"/>
    <w:rsid w:val="002850F1"/>
    <w:rsid w:val="002858B5"/>
    <w:rsid w:val="0028692F"/>
    <w:rsid w:val="0028742F"/>
    <w:rsid w:val="0028765E"/>
    <w:rsid w:val="00290540"/>
    <w:rsid w:val="00290973"/>
    <w:rsid w:val="00290B2C"/>
    <w:rsid w:val="00290C92"/>
    <w:rsid w:val="00290DD7"/>
    <w:rsid w:val="00291062"/>
    <w:rsid w:val="0029106F"/>
    <w:rsid w:val="00291556"/>
    <w:rsid w:val="00291E25"/>
    <w:rsid w:val="00292070"/>
    <w:rsid w:val="002923B0"/>
    <w:rsid w:val="00292738"/>
    <w:rsid w:val="00293000"/>
    <w:rsid w:val="002933B3"/>
    <w:rsid w:val="0029378D"/>
    <w:rsid w:val="00293951"/>
    <w:rsid w:val="00293CE8"/>
    <w:rsid w:val="002940B1"/>
    <w:rsid w:val="00294DB0"/>
    <w:rsid w:val="00296141"/>
    <w:rsid w:val="00296A69"/>
    <w:rsid w:val="00297079"/>
    <w:rsid w:val="00297778"/>
    <w:rsid w:val="00297C5B"/>
    <w:rsid w:val="002A0CAD"/>
    <w:rsid w:val="002A0CD8"/>
    <w:rsid w:val="002A1536"/>
    <w:rsid w:val="002A2109"/>
    <w:rsid w:val="002A22C0"/>
    <w:rsid w:val="002A22EF"/>
    <w:rsid w:val="002A2AE4"/>
    <w:rsid w:val="002A2BB0"/>
    <w:rsid w:val="002A345F"/>
    <w:rsid w:val="002A3982"/>
    <w:rsid w:val="002A3BCF"/>
    <w:rsid w:val="002A4AFD"/>
    <w:rsid w:val="002A4E48"/>
    <w:rsid w:val="002A5204"/>
    <w:rsid w:val="002A56C1"/>
    <w:rsid w:val="002A5933"/>
    <w:rsid w:val="002A6157"/>
    <w:rsid w:val="002A6465"/>
    <w:rsid w:val="002B01E1"/>
    <w:rsid w:val="002B02A4"/>
    <w:rsid w:val="002B02AA"/>
    <w:rsid w:val="002B0382"/>
    <w:rsid w:val="002B050C"/>
    <w:rsid w:val="002B14F3"/>
    <w:rsid w:val="002B5C10"/>
    <w:rsid w:val="002B6C34"/>
    <w:rsid w:val="002B70DA"/>
    <w:rsid w:val="002C05B6"/>
    <w:rsid w:val="002C09A5"/>
    <w:rsid w:val="002C12BE"/>
    <w:rsid w:val="002C1588"/>
    <w:rsid w:val="002C1940"/>
    <w:rsid w:val="002C23C0"/>
    <w:rsid w:val="002C3493"/>
    <w:rsid w:val="002C3DCD"/>
    <w:rsid w:val="002C4DCC"/>
    <w:rsid w:val="002C50E2"/>
    <w:rsid w:val="002C5872"/>
    <w:rsid w:val="002C62C3"/>
    <w:rsid w:val="002C62FF"/>
    <w:rsid w:val="002C68CB"/>
    <w:rsid w:val="002C694E"/>
    <w:rsid w:val="002C6ACE"/>
    <w:rsid w:val="002C73BE"/>
    <w:rsid w:val="002C756F"/>
    <w:rsid w:val="002C7BB6"/>
    <w:rsid w:val="002D06E1"/>
    <w:rsid w:val="002D0783"/>
    <w:rsid w:val="002D0B0C"/>
    <w:rsid w:val="002D0C06"/>
    <w:rsid w:val="002D1F8E"/>
    <w:rsid w:val="002D23E9"/>
    <w:rsid w:val="002D256F"/>
    <w:rsid w:val="002D284F"/>
    <w:rsid w:val="002D2A97"/>
    <w:rsid w:val="002D2D7C"/>
    <w:rsid w:val="002D3224"/>
    <w:rsid w:val="002D5317"/>
    <w:rsid w:val="002D6701"/>
    <w:rsid w:val="002D689A"/>
    <w:rsid w:val="002D68D4"/>
    <w:rsid w:val="002D69C6"/>
    <w:rsid w:val="002E0767"/>
    <w:rsid w:val="002E0FFB"/>
    <w:rsid w:val="002E16FC"/>
    <w:rsid w:val="002E1F3A"/>
    <w:rsid w:val="002E2828"/>
    <w:rsid w:val="002E3B8E"/>
    <w:rsid w:val="002E4A22"/>
    <w:rsid w:val="002E4E3B"/>
    <w:rsid w:val="002E5C94"/>
    <w:rsid w:val="002E6225"/>
    <w:rsid w:val="002E6FAA"/>
    <w:rsid w:val="002E7200"/>
    <w:rsid w:val="002E7390"/>
    <w:rsid w:val="002F01D4"/>
    <w:rsid w:val="002F0FB7"/>
    <w:rsid w:val="002F12EB"/>
    <w:rsid w:val="002F1905"/>
    <w:rsid w:val="002F29BD"/>
    <w:rsid w:val="002F2BD0"/>
    <w:rsid w:val="002F2F84"/>
    <w:rsid w:val="002F3062"/>
    <w:rsid w:val="002F39A6"/>
    <w:rsid w:val="002F3F18"/>
    <w:rsid w:val="002F4200"/>
    <w:rsid w:val="002F47B1"/>
    <w:rsid w:val="002F4A50"/>
    <w:rsid w:val="002F4AC7"/>
    <w:rsid w:val="002F4D96"/>
    <w:rsid w:val="002F5679"/>
    <w:rsid w:val="002F6A78"/>
    <w:rsid w:val="00300541"/>
    <w:rsid w:val="00300630"/>
    <w:rsid w:val="0030132B"/>
    <w:rsid w:val="00301DFA"/>
    <w:rsid w:val="00301E83"/>
    <w:rsid w:val="00301F67"/>
    <w:rsid w:val="0030228A"/>
    <w:rsid w:val="0030248F"/>
    <w:rsid w:val="00302980"/>
    <w:rsid w:val="00302B52"/>
    <w:rsid w:val="00302BF8"/>
    <w:rsid w:val="00302C18"/>
    <w:rsid w:val="00303998"/>
    <w:rsid w:val="00303BF6"/>
    <w:rsid w:val="003049B5"/>
    <w:rsid w:val="00304AF8"/>
    <w:rsid w:val="00304E9C"/>
    <w:rsid w:val="003050FF"/>
    <w:rsid w:val="003054AC"/>
    <w:rsid w:val="003065D6"/>
    <w:rsid w:val="00306F0E"/>
    <w:rsid w:val="00306FC3"/>
    <w:rsid w:val="00310C58"/>
    <w:rsid w:val="003117B5"/>
    <w:rsid w:val="00311D41"/>
    <w:rsid w:val="00312530"/>
    <w:rsid w:val="00312950"/>
    <w:rsid w:val="003129A0"/>
    <w:rsid w:val="00312F3F"/>
    <w:rsid w:val="00313197"/>
    <w:rsid w:val="0031362C"/>
    <w:rsid w:val="00313AF0"/>
    <w:rsid w:val="00315ACD"/>
    <w:rsid w:val="00315CE3"/>
    <w:rsid w:val="00315EB1"/>
    <w:rsid w:val="0031607A"/>
    <w:rsid w:val="0031649D"/>
    <w:rsid w:val="0031767D"/>
    <w:rsid w:val="00317837"/>
    <w:rsid w:val="00317B6D"/>
    <w:rsid w:val="00317B92"/>
    <w:rsid w:val="00317C02"/>
    <w:rsid w:val="003204E5"/>
    <w:rsid w:val="00320CFD"/>
    <w:rsid w:val="0032168F"/>
    <w:rsid w:val="003225B5"/>
    <w:rsid w:val="00322D06"/>
    <w:rsid w:val="003232D8"/>
    <w:rsid w:val="00323309"/>
    <w:rsid w:val="0032360B"/>
    <w:rsid w:val="003238E1"/>
    <w:rsid w:val="00323CBD"/>
    <w:rsid w:val="00324710"/>
    <w:rsid w:val="003253CB"/>
    <w:rsid w:val="003253DC"/>
    <w:rsid w:val="003256BA"/>
    <w:rsid w:val="003256CD"/>
    <w:rsid w:val="003260AF"/>
    <w:rsid w:val="00326FA0"/>
    <w:rsid w:val="003277F0"/>
    <w:rsid w:val="00327FC3"/>
    <w:rsid w:val="00327FD9"/>
    <w:rsid w:val="00330890"/>
    <w:rsid w:val="00330DAE"/>
    <w:rsid w:val="00331464"/>
    <w:rsid w:val="003314F6"/>
    <w:rsid w:val="00331516"/>
    <w:rsid w:val="0033151B"/>
    <w:rsid w:val="0033178C"/>
    <w:rsid w:val="00332490"/>
    <w:rsid w:val="00332FCB"/>
    <w:rsid w:val="00333A87"/>
    <w:rsid w:val="003341B4"/>
    <w:rsid w:val="0033492E"/>
    <w:rsid w:val="003350E5"/>
    <w:rsid w:val="00335657"/>
    <w:rsid w:val="003358A0"/>
    <w:rsid w:val="0033648E"/>
    <w:rsid w:val="00336EE4"/>
    <w:rsid w:val="00337D26"/>
    <w:rsid w:val="003404D8"/>
    <w:rsid w:val="003409D6"/>
    <w:rsid w:val="00340BB1"/>
    <w:rsid w:val="00340E05"/>
    <w:rsid w:val="00340FAE"/>
    <w:rsid w:val="003412BE"/>
    <w:rsid w:val="003417C0"/>
    <w:rsid w:val="00341C7A"/>
    <w:rsid w:val="00342234"/>
    <w:rsid w:val="0034248C"/>
    <w:rsid w:val="00342CAC"/>
    <w:rsid w:val="00342F8C"/>
    <w:rsid w:val="0034312F"/>
    <w:rsid w:val="00343977"/>
    <w:rsid w:val="00343B0E"/>
    <w:rsid w:val="00343D05"/>
    <w:rsid w:val="00343D97"/>
    <w:rsid w:val="00343F93"/>
    <w:rsid w:val="003441A6"/>
    <w:rsid w:val="0034434C"/>
    <w:rsid w:val="00344642"/>
    <w:rsid w:val="003456E4"/>
    <w:rsid w:val="003456EE"/>
    <w:rsid w:val="00345845"/>
    <w:rsid w:val="003463A4"/>
    <w:rsid w:val="0035013A"/>
    <w:rsid w:val="0035018A"/>
    <w:rsid w:val="00350C85"/>
    <w:rsid w:val="0035114D"/>
    <w:rsid w:val="003511C4"/>
    <w:rsid w:val="0035131E"/>
    <w:rsid w:val="00351568"/>
    <w:rsid w:val="00351BA1"/>
    <w:rsid w:val="00352FB0"/>
    <w:rsid w:val="003538B5"/>
    <w:rsid w:val="003542A0"/>
    <w:rsid w:val="00354394"/>
    <w:rsid w:val="00354C13"/>
    <w:rsid w:val="0035598C"/>
    <w:rsid w:val="00355C30"/>
    <w:rsid w:val="00356C68"/>
    <w:rsid w:val="00356CA8"/>
    <w:rsid w:val="003573D3"/>
    <w:rsid w:val="003576D4"/>
    <w:rsid w:val="003604E4"/>
    <w:rsid w:val="003613DC"/>
    <w:rsid w:val="003614BC"/>
    <w:rsid w:val="00361BDB"/>
    <w:rsid w:val="00361E49"/>
    <w:rsid w:val="00361E9C"/>
    <w:rsid w:val="0036238E"/>
    <w:rsid w:val="003624EC"/>
    <w:rsid w:val="00362C82"/>
    <w:rsid w:val="00362E05"/>
    <w:rsid w:val="00363339"/>
    <w:rsid w:val="00363549"/>
    <w:rsid w:val="00363B6B"/>
    <w:rsid w:val="00364692"/>
    <w:rsid w:val="00364F50"/>
    <w:rsid w:val="00365075"/>
    <w:rsid w:val="00366760"/>
    <w:rsid w:val="00366D69"/>
    <w:rsid w:val="003702E8"/>
    <w:rsid w:val="0037049A"/>
    <w:rsid w:val="003712EE"/>
    <w:rsid w:val="00371686"/>
    <w:rsid w:val="00371D17"/>
    <w:rsid w:val="0037279B"/>
    <w:rsid w:val="00372A77"/>
    <w:rsid w:val="00373475"/>
    <w:rsid w:val="0037355E"/>
    <w:rsid w:val="00373671"/>
    <w:rsid w:val="003739A2"/>
    <w:rsid w:val="00373B5B"/>
    <w:rsid w:val="00373EF5"/>
    <w:rsid w:val="003748A3"/>
    <w:rsid w:val="00374E64"/>
    <w:rsid w:val="00374E7F"/>
    <w:rsid w:val="00375A26"/>
    <w:rsid w:val="00375BAE"/>
    <w:rsid w:val="00375D22"/>
    <w:rsid w:val="00376BEE"/>
    <w:rsid w:val="0037740C"/>
    <w:rsid w:val="00377E7B"/>
    <w:rsid w:val="00380018"/>
    <w:rsid w:val="00380743"/>
    <w:rsid w:val="0038137E"/>
    <w:rsid w:val="003816C9"/>
    <w:rsid w:val="003820CC"/>
    <w:rsid w:val="003831B3"/>
    <w:rsid w:val="003831E8"/>
    <w:rsid w:val="0038343C"/>
    <w:rsid w:val="003837AC"/>
    <w:rsid w:val="00384429"/>
    <w:rsid w:val="003852D3"/>
    <w:rsid w:val="00385D02"/>
    <w:rsid w:val="00386B14"/>
    <w:rsid w:val="00386DCB"/>
    <w:rsid w:val="00386E81"/>
    <w:rsid w:val="0038715F"/>
    <w:rsid w:val="0038790F"/>
    <w:rsid w:val="00387A9B"/>
    <w:rsid w:val="0039035F"/>
    <w:rsid w:val="00390598"/>
    <w:rsid w:val="00390681"/>
    <w:rsid w:val="00390C29"/>
    <w:rsid w:val="003915D7"/>
    <w:rsid w:val="0039194E"/>
    <w:rsid w:val="00391DD8"/>
    <w:rsid w:val="00392C8F"/>
    <w:rsid w:val="00393348"/>
    <w:rsid w:val="003937C9"/>
    <w:rsid w:val="00393918"/>
    <w:rsid w:val="003941E0"/>
    <w:rsid w:val="003942AC"/>
    <w:rsid w:val="00394533"/>
    <w:rsid w:val="0039625A"/>
    <w:rsid w:val="003965BD"/>
    <w:rsid w:val="003971AC"/>
    <w:rsid w:val="00397214"/>
    <w:rsid w:val="00397348"/>
    <w:rsid w:val="003A0D15"/>
    <w:rsid w:val="003A0EC0"/>
    <w:rsid w:val="003A1EF5"/>
    <w:rsid w:val="003A298E"/>
    <w:rsid w:val="003A2CD3"/>
    <w:rsid w:val="003A2DC6"/>
    <w:rsid w:val="003A31C9"/>
    <w:rsid w:val="003A31E5"/>
    <w:rsid w:val="003A3488"/>
    <w:rsid w:val="003A39C4"/>
    <w:rsid w:val="003A5168"/>
    <w:rsid w:val="003A553C"/>
    <w:rsid w:val="003A595D"/>
    <w:rsid w:val="003A5A8A"/>
    <w:rsid w:val="003A66FE"/>
    <w:rsid w:val="003A6A88"/>
    <w:rsid w:val="003A6CEF"/>
    <w:rsid w:val="003A77BF"/>
    <w:rsid w:val="003B0198"/>
    <w:rsid w:val="003B0707"/>
    <w:rsid w:val="003B0900"/>
    <w:rsid w:val="003B1514"/>
    <w:rsid w:val="003B15F3"/>
    <w:rsid w:val="003B162C"/>
    <w:rsid w:val="003B170E"/>
    <w:rsid w:val="003B18D7"/>
    <w:rsid w:val="003B27FB"/>
    <w:rsid w:val="003B2951"/>
    <w:rsid w:val="003B3171"/>
    <w:rsid w:val="003B3644"/>
    <w:rsid w:val="003B4178"/>
    <w:rsid w:val="003B437D"/>
    <w:rsid w:val="003B491D"/>
    <w:rsid w:val="003B507E"/>
    <w:rsid w:val="003B6312"/>
    <w:rsid w:val="003B6336"/>
    <w:rsid w:val="003B649A"/>
    <w:rsid w:val="003B703D"/>
    <w:rsid w:val="003B710D"/>
    <w:rsid w:val="003B79F1"/>
    <w:rsid w:val="003B7AC7"/>
    <w:rsid w:val="003B7CCD"/>
    <w:rsid w:val="003C024E"/>
    <w:rsid w:val="003C06EA"/>
    <w:rsid w:val="003C0CF4"/>
    <w:rsid w:val="003C15A9"/>
    <w:rsid w:val="003C26E7"/>
    <w:rsid w:val="003C4186"/>
    <w:rsid w:val="003C454A"/>
    <w:rsid w:val="003C4E39"/>
    <w:rsid w:val="003C5210"/>
    <w:rsid w:val="003C699A"/>
    <w:rsid w:val="003C7086"/>
    <w:rsid w:val="003D05ED"/>
    <w:rsid w:val="003D123B"/>
    <w:rsid w:val="003D191E"/>
    <w:rsid w:val="003D19C2"/>
    <w:rsid w:val="003D2FD2"/>
    <w:rsid w:val="003D3C21"/>
    <w:rsid w:val="003D3F8E"/>
    <w:rsid w:val="003D45E7"/>
    <w:rsid w:val="003D4B40"/>
    <w:rsid w:val="003D5ECB"/>
    <w:rsid w:val="003D61C2"/>
    <w:rsid w:val="003D654C"/>
    <w:rsid w:val="003D65C8"/>
    <w:rsid w:val="003D701F"/>
    <w:rsid w:val="003D7543"/>
    <w:rsid w:val="003E03CE"/>
    <w:rsid w:val="003E0741"/>
    <w:rsid w:val="003E1464"/>
    <w:rsid w:val="003E272F"/>
    <w:rsid w:val="003E29AB"/>
    <w:rsid w:val="003E2A45"/>
    <w:rsid w:val="003E3760"/>
    <w:rsid w:val="003E3C8E"/>
    <w:rsid w:val="003E4614"/>
    <w:rsid w:val="003E5BB0"/>
    <w:rsid w:val="003E629F"/>
    <w:rsid w:val="003E7A53"/>
    <w:rsid w:val="003E7B19"/>
    <w:rsid w:val="003E7B67"/>
    <w:rsid w:val="003E7CA0"/>
    <w:rsid w:val="003F00C0"/>
    <w:rsid w:val="003F0E2E"/>
    <w:rsid w:val="003F138D"/>
    <w:rsid w:val="003F20A6"/>
    <w:rsid w:val="003F20DE"/>
    <w:rsid w:val="003F5446"/>
    <w:rsid w:val="003F54D3"/>
    <w:rsid w:val="003F5C1D"/>
    <w:rsid w:val="003F6659"/>
    <w:rsid w:val="003F6A03"/>
    <w:rsid w:val="003F7D67"/>
    <w:rsid w:val="003F7FE5"/>
    <w:rsid w:val="004005D3"/>
    <w:rsid w:val="0040072A"/>
    <w:rsid w:val="004010E6"/>
    <w:rsid w:val="00401BEF"/>
    <w:rsid w:val="00402206"/>
    <w:rsid w:val="00402551"/>
    <w:rsid w:val="0040296F"/>
    <w:rsid w:val="00402B13"/>
    <w:rsid w:val="00402D39"/>
    <w:rsid w:val="00402DCC"/>
    <w:rsid w:val="00403753"/>
    <w:rsid w:val="0040434B"/>
    <w:rsid w:val="004048A0"/>
    <w:rsid w:val="00404952"/>
    <w:rsid w:val="0040573B"/>
    <w:rsid w:val="00405A52"/>
    <w:rsid w:val="00405E39"/>
    <w:rsid w:val="0040623D"/>
    <w:rsid w:val="00406630"/>
    <w:rsid w:val="004067C3"/>
    <w:rsid w:val="00406AC2"/>
    <w:rsid w:val="0040769E"/>
    <w:rsid w:val="00407ECC"/>
    <w:rsid w:val="0041011B"/>
    <w:rsid w:val="004104DD"/>
    <w:rsid w:val="004106E6"/>
    <w:rsid w:val="00410DBD"/>
    <w:rsid w:val="0041155C"/>
    <w:rsid w:val="004119D2"/>
    <w:rsid w:val="0041214F"/>
    <w:rsid w:val="00413ABA"/>
    <w:rsid w:val="00413FC1"/>
    <w:rsid w:val="00414A91"/>
    <w:rsid w:val="004156EE"/>
    <w:rsid w:val="00415C83"/>
    <w:rsid w:val="00415C97"/>
    <w:rsid w:val="004162E5"/>
    <w:rsid w:val="004179FD"/>
    <w:rsid w:val="00420E8D"/>
    <w:rsid w:val="004211D8"/>
    <w:rsid w:val="004218D7"/>
    <w:rsid w:val="004220B9"/>
    <w:rsid w:val="004233F3"/>
    <w:rsid w:val="00423D73"/>
    <w:rsid w:val="00424CE6"/>
    <w:rsid w:val="00425416"/>
    <w:rsid w:val="00425B2D"/>
    <w:rsid w:val="00425CAF"/>
    <w:rsid w:val="00425D12"/>
    <w:rsid w:val="0042644D"/>
    <w:rsid w:val="004266D4"/>
    <w:rsid w:val="00426D0E"/>
    <w:rsid w:val="00427D4F"/>
    <w:rsid w:val="00427F0A"/>
    <w:rsid w:val="00427FA5"/>
    <w:rsid w:val="00430438"/>
    <w:rsid w:val="00430CE9"/>
    <w:rsid w:val="0043189B"/>
    <w:rsid w:val="00431E3F"/>
    <w:rsid w:val="00431E87"/>
    <w:rsid w:val="00432F3D"/>
    <w:rsid w:val="004332A7"/>
    <w:rsid w:val="0043371E"/>
    <w:rsid w:val="00434468"/>
    <w:rsid w:val="00434ACE"/>
    <w:rsid w:val="00434C07"/>
    <w:rsid w:val="00434D65"/>
    <w:rsid w:val="0043535D"/>
    <w:rsid w:val="004361C7"/>
    <w:rsid w:val="00436C53"/>
    <w:rsid w:val="0043716C"/>
    <w:rsid w:val="004373D3"/>
    <w:rsid w:val="004375F7"/>
    <w:rsid w:val="0043770F"/>
    <w:rsid w:val="00437820"/>
    <w:rsid w:val="00437996"/>
    <w:rsid w:val="00437B17"/>
    <w:rsid w:val="00437C4E"/>
    <w:rsid w:val="00437E29"/>
    <w:rsid w:val="004408AA"/>
    <w:rsid w:val="004409C1"/>
    <w:rsid w:val="004411AA"/>
    <w:rsid w:val="004413A9"/>
    <w:rsid w:val="00441D21"/>
    <w:rsid w:val="0044243C"/>
    <w:rsid w:val="00442649"/>
    <w:rsid w:val="00442F00"/>
    <w:rsid w:val="004432BF"/>
    <w:rsid w:val="00443520"/>
    <w:rsid w:val="00443583"/>
    <w:rsid w:val="00443860"/>
    <w:rsid w:val="0044431C"/>
    <w:rsid w:val="004448D0"/>
    <w:rsid w:val="00445401"/>
    <w:rsid w:val="00446D10"/>
    <w:rsid w:val="00446EC4"/>
    <w:rsid w:val="0044744E"/>
    <w:rsid w:val="004501A3"/>
    <w:rsid w:val="00450439"/>
    <w:rsid w:val="004506CA"/>
    <w:rsid w:val="004508FB"/>
    <w:rsid w:val="0045098F"/>
    <w:rsid w:val="00450A43"/>
    <w:rsid w:val="00450C21"/>
    <w:rsid w:val="00450E23"/>
    <w:rsid w:val="0045141B"/>
    <w:rsid w:val="00451AFD"/>
    <w:rsid w:val="00451B16"/>
    <w:rsid w:val="00452BC6"/>
    <w:rsid w:val="004540BD"/>
    <w:rsid w:val="00454FB3"/>
    <w:rsid w:val="00455F9B"/>
    <w:rsid w:val="004569C4"/>
    <w:rsid w:val="0045762B"/>
    <w:rsid w:val="004608FE"/>
    <w:rsid w:val="00461490"/>
    <w:rsid w:val="004629C7"/>
    <w:rsid w:val="00462CB5"/>
    <w:rsid w:val="00462EB8"/>
    <w:rsid w:val="004631A8"/>
    <w:rsid w:val="00463D54"/>
    <w:rsid w:val="00464C79"/>
    <w:rsid w:val="00464CD8"/>
    <w:rsid w:val="00464E05"/>
    <w:rsid w:val="004651B5"/>
    <w:rsid w:val="004654CB"/>
    <w:rsid w:val="00466A4B"/>
    <w:rsid w:val="0046738A"/>
    <w:rsid w:val="00467CD0"/>
    <w:rsid w:val="00467EBF"/>
    <w:rsid w:val="00467FDE"/>
    <w:rsid w:val="004703B0"/>
    <w:rsid w:val="004705CA"/>
    <w:rsid w:val="00470CE6"/>
    <w:rsid w:val="0047104C"/>
    <w:rsid w:val="00472912"/>
    <w:rsid w:val="004729FD"/>
    <w:rsid w:val="00472AE4"/>
    <w:rsid w:val="00472C3D"/>
    <w:rsid w:val="0047345A"/>
    <w:rsid w:val="00473AAD"/>
    <w:rsid w:val="00473DF0"/>
    <w:rsid w:val="00473F81"/>
    <w:rsid w:val="00475306"/>
    <w:rsid w:val="0047538B"/>
    <w:rsid w:val="004753CB"/>
    <w:rsid w:val="00476384"/>
    <w:rsid w:val="0047661D"/>
    <w:rsid w:val="004772A0"/>
    <w:rsid w:val="00477C3E"/>
    <w:rsid w:val="00480381"/>
    <w:rsid w:val="00480720"/>
    <w:rsid w:val="00481662"/>
    <w:rsid w:val="0048325E"/>
    <w:rsid w:val="00484601"/>
    <w:rsid w:val="004846CA"/>
    <w:rsid w:val="00484823"/>
    <w:rsid w:val="00484FE2"/>
    <w:rsid w:val="0048533B"/>
    <w:rsid w:val="004854D7"/>
    <w:rsid w:val="004866A6"/>
    <w:rsid w:val="004867F5"/>
    <w:rsid w:val="00490195"/>
    <w:rsid w:val="004902B3"/>
    <w:rsid w:val="004908F5"/>
    <w:rsid w:val="00490F79"/>
    <w:rsid w:val="00491496"/>
    <w:rsid w:val="004917E3"/>
    <w:rsid w:val="00491C07"/>
    <w:rsid w:val="00491FA8"/>
    <w:rsid w:val="004931D4"/>
    <w:rsid w:val="00493287"/>
    <w:rsid w:val="00493962"/>
    <w:rsid w:val="004939A3"/>
    <w:rsid w:val="00493B0B"/>
    <w:rsid w:val="0049476B"/>
    <w:rsid w:val="004955AD"/>
    <w:rsid w:val="00495C55"/>
    <w:rsid w:val="0049612F"/>
    <w:rsid w:val="00496694"/>
    <w:rsid w:val="00496D96"/>
    <w:rsid w:val="00496EC6"/>
    <w:rsid w:val="00497904"/>
    <w:rsid w:val="004A074B"/>
    <w:rsid w:val="004A0FAB"/>
    <w:rsid w:val="004A1E91"/>
    <w:rsid w:val="004A1FAC"/>
    <w:rsid w:val="004A264D"/>
    <w:rsid w:val="004A2684"/>
    <w:rsid w:val="004A3A4D"/>
    <w:rsid w:val="004A59DB"/>
    <w:rsid w:val="004A60D3"/>
    <w:rsid w:val="004A6147"/>
    <w:rsid w:val="004A6589"/>
    <w:rsid w:val="004A6ADC"/>
    <w:rsid w:val="004A7355"/>
    <w:rsid w:val="004A7643"/>
    <w:rsid w:val="004A7E7F"/>
    <w:rsid w:val="004B0544"/>
    <w:rsid w:val="004B05BA"/>
    <w:rsid w:val="004B0918"/>
    <w:rsid w:val="004B0B02"/>
    <w:rsid w:val="004B1656"/>
    <w:rsid w:val="004B1A72"/>
    <w:rsid w:val="004B228F"/>
    <w:rsid w:val="004B2B0A"/>
    <w:rsid w:val="004B2CA8"/>
    <w:rsid w:val="004B2FDB"/>
    <w:rsid w:val="004B3113"/>
    <w:rsid w:val="004B3396"/>
    <w:rsid w:val="004B3A5F"/>
    <w:rsid w:val="004B502F"/>
    <w:rsid w:val="004B5441"/>
    <w:rsid w:val="004B56C4"/>
    <w:rsid w:val="004B5762"/>
    <w:rsid w:val="004B5FF9"/>
    <w:rsid w:val="004C0008"/>
    <w:rsid w:val="004C00DA"/>
    <w:rsid w:val="004C0764"/>
    <w:rsid w:val="004C08CD"/>
    <w:rsid w:val="004C0AD4"/>
    <w:rsid w:val="004C11C9"/>
    <w:rsid w:val="004C1807"/>
    <w:rsid w:val="004C1D02"/>
    <w:rsid w:val="004C226F"/>
    <w:rsid w:val="004C30E9"/>
    <w:rsid w:val="004C32AF"/>
    <w:rsid w:val="004C3B45"/>
    <w:rsid w:val="004C4A2A"/>
    <w:rsid w:val="004C56AA"/>
    <w:rsid w:val="004C5C96"/>
    <w:rsid w:val="004C6064"/>
    <w:rsid w:val="004C6900"/>
    <w:rsid w:val="004C6D5E"/>
    <w:rsid w:val="004C6F6D"/>
    <w:rsid w:val="004C75CB"/>
    <w:rsid w:val="004C7751"/>
    <w:rsid w:val="004C7825"/>
    <w:rsid w:val="004D0161"/>
    <w:rsid w:val="004D0EB2"/>
    <w:rsid w:val="004D268E"/>
    <w:rsid w:val="004D26AF"/>
    <w:rsid w:val="004D312B"/>
    <w:rsid w:val="004D3180"/>
    <w:rsid w:val="004D350F"/>
    <w:rsid w:val="004D3BF2"/>
    <w:rsid w:val="004D4353"/>
    <w:rsid w:val="004D480B"/>
    <w:rsid w:val="004D506A"/>
    <w:rsid w:val="004D5512"/>
    <w:rsid w:val="004D57CC"/>
    <w:rsid w:val="004D5ED9"/>
    <w:rsid w:val="004D6043"/>
    <w:rsid w:val="004D6B67"/>
    <w:rsid w:val="004D6DCD"/>
    <w:rsid w:val="004D721C"/>
    <w:rsid w:val="004D73B6"/>
    <w:rsid w:val="004D7447"/>
    <w:rsid w:val="004D7CAF"/>
    <w:rsid w:val="004E04D3"/>
    <w:rsid w:val="004E09A1"/>
    <w:rsid w:val="004E0A6F"/>
    <w:rsid w:val="004E1270"/>
    <w:rsid w:val="004E335F"/>
    <w:rsid w:val="004E4847"/>
    <w:rsid w:val="004E50B7"/>
    <w:rsid w:val="004E5915"/>
    <w:rsid w:val="004E5BD8"/>
    <w:rsid w:val="004E6276"/>
    <w:rsid w:val="004E645F"/>
    <w:rsid w:val="004E6E64"/>
    <w:rsid w:val="004E7634"/>
    <w:rsid w:val="004F01AB"/>
    <w:rsid w:val="004F08AF"/>
    <w:rsid w:val="004F2DDE"/>
    <w:rsid w:val="004F3474"/>
    <w:rsid w:val="004F36E0"/>
    <w:rsid w:val="004F45CD"/>
    <w:rsid w:val="004F55C0"/>
    <w:rsid w:val="004F5876"/>
    <w:rsid w:val="004F5C62"/>
    <w:rsid w:val="004F5CB8"/>
    <w:rsid w:val="004F5E5F"/>
    <w:rsid w:val="004F674F"/>
    <w:rsid w:val="004F6B78"/>
    <w:rsid w:val="004F6BAD"/>
    <w:rsid w:val="004F78E6"/>
    <w:rsid w:val="004F7A1F"/>
    <w:rsid w:val="004F7A9D"/>
    <w:rsid w:val="004F7C39"/>
    <w:rsid w:val="00501529"/>
    <w:rsid w:val="00501732"/>
    <w:rsid w:val="00501F1E"/>
    <w:rsid w:val="00502395"/>
    <w:rsid w:val="00502EEF"/>
    <w:rsid w:val="00503F9B"/>
    <w:rsid w:val="005042C8"/>
    <w:rsid w:val="005047A1"/>
    <w:rsid w:val="00505043"/>
    <w:rsid w:val="005050A5"/>
    <w:rsid w:val="0050510B"/>
    <w:rsid w:val="0050753F"/>
    <w:rsid w:val="00507BDF"/>
    <w:rsid w:val="00507E1C"/>
    <w:rsid w:val="00510308"/>
    <w:rsid w:val="00510D2A"/>
    <w:rsid w:val="00510EAE"/>
    <w:rsid w:val="0051143F"/>
    <w:rsid w:val="00511500"/>
    <w:rsid w:val="0051188F"/>
    <w:rsid w:val="00512149"/>
    <w:rsid w:val="00512791"/>
    <w:rsid w:val="00512815"/>
    <w:rsid w:val="00513140"/>
    <w:rsid w:val="00513B45"/>
    <w:rsid w:val="00514293"/>
    <w:rsid w:val="00514B7A"/>
    <w:rsid w:val="00514B98"/>
    <w:rsid w:val="00514F8D"/>
    <w:rsid w:val="005164AA"/>
    <w:rsid w:val="00516998"/>
    <w:rsid w:val="00516BE2"/>
    <w:rsid w:val="005171F6"/>
    <w:rsid w:val="00517CD7"/>
    <w:rsid w:val="00517D40"/>
    <w:rsid w:val="00517E01"/>
    <w:rsid w:val="00517F6C"/>
    <w:rsid w:val="00520399"/>
    <w:rsid w:val="00521C6F"/>
    <w:rsid w:val="00522466"/>
    <w:rsid w:val="005229DF"/>
    <w:rsid w:val="0052358B"/>
    <w:rsid w:val="00523F38"/>
    <w:rsid w:val="00525AF5"/>
    <w:rsid w:val="00525DC1"/>
    <w:rsid w:val="00526AAB"/>
    <w:rsid w:val="00526C5A"/>
    <w:rsid w:val="0052741A"/>
    <w:rsid w:val="0052742A"/>
    <w:rsid w:val="0052769C"/>
    <w:rsid w:val="005279FB"/>
    <w:rsid w:val="00527DCB"/>
    <w:rsid w:val="00530CA9"/>
    <w:rsid w:val="00531399"/>
    <w:rsid w:val="00531444"/>
    <w:rsid w:val="005316C4"/>
    <w:rsid w:val="00531B2D"/>
    <w:rsid w:val="00531B74"/>
    <w:rsid w:val="005328A2"/>
    <w:rsid w:val="005335B4"/>
    <w:rsid w:val="005338C6"/>
    <w:rsid w:val="00533B14"/>
    <w:rsid w:val="00533DFF"/>
    <w:rsid w:val="00534573"/>
    <w:rsid w:val="00534660"/>
    <w:rsid w:val="0053579C"/>
    <w:rsid w:val="005364ED"/>
    <w:rsid w:val="005373CE"/>
    <w:rsid w:val="005378C4"/>
    <w:rsid w:val="00540410"/>
    <w:rsid w:val="00540AEA"/>
    <w:rsid w:val="00540DE8"/>
    <w:rsid w:val="00541284"/>
    <w:rsid w:val="005412CC"/>
    <w:rsid w:val="00541388"/>
    <w:rsid w:val="00541602"/>
    <w:rsid w:val="00541F28"/>
    <w:rsid w:val="00541F4C"/>
    <w:rsid w:val="005424DA"/>
    <w:rsid w:val="00542952"/>
    <w:rsid w:val="005433EF"/>
    <w:rsid w:val="00543939"/>
    <w:rsid w:val="005439B7"/>
    <w:rsid w:val="005439EA"/>
    <w:rsid w:val="00543BB4"/>
    <w:rsid w:val="0054471B"/>
    <w:rsid w:val="00544731"/>
    <w:rsid w:val="00545214"/>
    <w:rsid w:val="005459F0"/>
    <w:rsid w:val="00545FCC"/>
    <w:rsid w:val="0054779A"/>
    <w:rsid w:val="0054790D"/>
    <w:rsid w:val="005515CC"/>
    <w:rsid w:val="00552605"/>
    <w:rsid w:val="005528E9"/>
    <w:rsid w:val="0055294C"/>
    <w:rsid w:val="0055315D"/>
    <w:rsid w:val="00553EF9"/>
    <w:rsid w:val="00554554"/>
    <w:rsid w:val="0055470F"/>
    <w:rsid w:val="0055542A"/>
    <w:rsid w:val="00555879"/>
    <w:rsid w:val="00555C13"/>
    <w:rsid w:val="00556281"/>
    <w:rsid w:val="00556284"/>
    <w:rsid w:val="005563B4"/>
    <w:rsid w:val="0055777E"/>
    <w:rsid w:val="0056069E"/>
    <w:rsid w:val="005607F6"/>
    <w:rsid w:val="00560B90"/>
    <w:rsid w:val="00560D9C"/>
    <w:rsid w:val="00560E34"/>
    <w:rsid w:val="005615A5"/>
    <w:rsid w:val="005620AB"/>
    <w:rsid w:val="00562759"/>
    <w:rsid w:val="00562A2C"/>
    <w:rsid w:val="0056336E"/>
    <w:rsid w:val="00563CDD"/>
    <w:rsid w:val="0056495A"/>
    <w:rsid w:val="00564B34"/>
    <w:rsid w:val="00564FB7"/>
    <w:rsid w:val="00567118"/>
    <w:rsid w:val="005677E6"/>
    <w:rsid w:val="005679D4"/>
    <w:rsid w:val="00567D39"/>
    <w:rsid w:val="0057039B"/>
    <w:rsid w:val="0057050A"/>
    <w:rsid w:val="00570510"/>
    <w:rsid w:val="00570586"/>
    <w:rsid w:val="00570AB1"/>
    <w:rsid w:val="00572ED9"/>
    <w:rsid w:val="00573466"/>
    <w:rsid w:val="0057362E"/>
    <w:rsid w:val="00573D21"/>
    <w:rsid w:val="0057442A"/>
    <w:rsid w:val="00574715"/>
    <w:rsid w:val="00574822"/>
    <w:rsid w:val="0057496D"/>
    <w:rsid w:val="0057504A"/>
    <w:rsid w:val="005759D7"/>
    <w:rsid w:val="00577FCA"/>
    <w:rsid w:val="00580361"/>
    <w:rsid w:val="00580C5D"/>
    <w:rsid w:val="00581CD8"/>
    <w:rsid w:val="00582D7A"/>
    <w:rsid w:val="00583219"/>
    <w:rsid w:val="0058359E"/>
    <w:rsid w:val="00583642"/>
    <w:rsid w:val="0058481A"/>
    <w:rsid w:val="00584CF6"/>
    <w:rsid w:val="00585830"/>
    <w:rsid w:val="00585F19"/>
    <w:rsid w:val="0058625D"/>
    <w:rsid w:val="0058790C"/>
    <w:rsid w:val="00587D7A"/>
    <w:rsid w:val="00590A2D"/>
    <w:rsid w:val="00590E01"/>
    <w:rsid w:val="00590FA1"/>
    <w:rsid w:val="005912F1"/>
    <w:rsid w:val="005915C5"/>
    <w:rsid w:val="00591A5E"/>
    <w:rsid w:val="00592860"/>
    <w:rsid w:val="00592D27"/>
    <w:rsid w:val="005936F7"/>
    <w:rsid w:val="00593700"/>
    <w:rsid w:val="00593AF5"/>
    <w:rsid w:val="005940D5"/>
    <w:rsid w:val="0059420F"/>
    <w:rsid w:val="00594519"/>
    <w:rsid w:val="00595625"/>
    <w:rsid w:val="00595A53"/>
    <w:rsid w:val="00595C75"/>
    <w:rsid w:val="005967F8"/>
    <w:rsid w:val="00596C7A"/>
    <w:rsid w:val="0059761B"/>
    <w:rsid w:val="00597DEB"/>
    <w:rsid w:val="005A0A0E"/>
    <w:rsid w:val="005A1AF2"/>
    <w:rsid w:val="005A1B1F"/>
    <w:rsid w:val="005A1B6F"/>
    <w:rsid w:val="005A309C"/>
    <w:rsid w:val="005A3B0E"/>
    <w:rsid w:val="005A420B"/>
    <w:rsid w:val="005A4FC0"/>
    <w:rsid w:val="005A5D38"/>
    <w:rsid w:val="005A6556"/>
    <w:rsid w:val="005A6B23"/>
    <w:rsid w:val="005A6B76"/>
    <w:rsid w:val="005B0C45"/>
    <w:rsid w:val="005B0F45"/>
    <w:rsid w:val="005B0F68"/>
    <w:rsid w:val="005B1C42"/>
    <w:rsid w:val="005B2003"/>
    <w:rsid w:val="005B2E7F"/>
    <w:rsid w:val="005B2F00"/>
    <w:rsid w:val="005B3719"/>
    <w:rsid w:val="005B3D2D"/>
    <w:rsid w:val="005B4256"/>
    <w:rsid w:val="005B476F"/>
    <w:rsid w:val="005B4BF1"/>
    <w:rsid w:val="005B4EED"/>
    <w:rsid w:val="005B5639"/>
    <w:rsid w:val="005B5B0C"/>
    <w:rsid w:val="005B5C7E"/>
    <w:rsid w:val="005B5E3F"/>
    <w:rsid w:val="005B6071"/>
    <w:rsid w:val="005B6B4B"/>
    <w:rsid w:val="005B6C46"/>
    <w:rsid w:val="005B6E8E"/>
    <w:rsid w:val="005B70FC"/>
    <w:rsid w:val="005B7217"/>
    <w:rsid w:val="005B74C9"/>
    <w:rsid w:val="005B7979"/>
    <w:rsid w:val="005C120E"/>
    <w:rsid w:val="005C16D6"/>
    <w:rsid w:val="005C1938"/>
    <w:rsid w:val="005C2096"/>
    <w:rsid w:val="005C24F3"/>
    <w:rsid w:val="005C298C"/>
    <w:rsid w:val="005C2B40"/>
    <w:rsid w:val="005C3340"/>
    <w:rsid w:val="005C374C"/>
    <w:rsid w:val="005C3981"/>
    <w:rsid w:val="005C3C55"/>
    <w:rsid w:val="005C4617"/>
    <w:rsid w:val="005C476F"/>
    <w:rsid w:val="005C47F3"/>
    <w:rsid w:val="005C4887"/>
    <w:rsid w:val="005C623A"/>
    <w:rsid w:val="005C638C"/>
    <w:rsid w:val="005C63A7"/>
    <w:rsid w:val="005C6A82"/>
    <w:rsid w:val="005C6EA6"/>
    <w:rsid w:val="005C7641"/>
    <w:rsid w:val="005C7C18"/>
    <w:rsid w:val="005D0C0E"/>
    <w:rsid w:val="005D1499"/>
    <w:rsid w:val="005D23E0"/>
    <w:rsid w:val="005D26DE"/>
    <w:rsid w:val="005D3E98"/>
    <w:rsid w:val="005D47F8"/>
    <w:rsid w:val="005D4919"/>
    <w:rsid w:val="005D4BBE"/>
    <w:rsid w:val="005D5418"/>
    <w:rsid w:val="005D5747"/>
    <w:rsid w:val="005D5FCD"/>
    <w:rsid w:val="005D7687"/>
    <w:rsid w:val="005E0252"/>
    <w:rsid w:val="005E0CFD"/>
    <w:rsid w:val="005E0F3A"/>
    <w:rsid w:val="005E1744"/>
    <w:rsid w:val="005E234C"/>
    <w:rsid w:val="005E2C91"/>
    <w:rsid w:val="005E3170"/>
    <w:rsid w:val="005E3674"/>
    <w:rsid w:val="005E37FA"/>
    <w:rsid w:val="005E3C0E"/>
    <w:rsid w:val="005E41D5"/>
    <w:rsid w:val="005E4817"/>
    <w:rsid w:val="005E4F4C"/>
    <w:rsid w:val="005E51F6"/>
    <w:rsid w:val="005E5DFD"/>
    <w:rsid w:val="005E6BCD"/>
    <w:rsid w:val="005E7C55"/>
    <w:rsid w:val="005F1691"/>
    <w:rsid w:val="005F374C"/>
    <w:rsid w:val="005F3754"/>
    <w:rsid w:val="005F40C6"/>
    <w:rsid w:val="005F451B"/>
    <w:rsid w:val="005F4F40"/>
    <w:rsid w:val="005F511E"/>
    <w:rsid w:val="005F5240"/>
    <w:rsid w:val="005F54E2"/>
    <w:rsid w:val="005F60BB"/>
    <w:rsid w:val="005F65E4"/>
    <w:rsid w:val="005F6B13"/>
    <w:rsid w:val="005F6E24"/>
    <w:rsid w:val="005F7D18"/>
    <w:rsid w:val="006002EC"/>
    <w:rsid w:val="006005BC"/>
    <w:rsid w:val="00601FDA"/>
    <w:rsid w:val="00601FE5"/>
    <w:rsid w:val="006023EB"/>
    <w:rsid w:val="00602701"/>
    <w:rsid w:val="006033F9"/>
    <w:rsid w:val="00603553"/>
    <w:rsid w:val="00603603"/>
    <w:rsid w:val="00603A2D"/>
    <w:rsid w:val="00604733"/>
    <w:rsid w:val="00605349"/>
    <w:rsid w:val="006054CE"/>
    <w:rsid w:val="00606B81"/>
    <w:rsid w:val="00607363"/>
    <w:rsid w:val="006079DE"/>
    <w:rsid w:val="00610485"/>
    <w:rsid w:val="0061048B"/>
    <w:rsid w:val="00611759"/>
    <w:rsid w:val="0061219D"/>
    <w:rsid w:val="00612589"/>
    <w:rsid w:val="00612C19"/>
    <w:rsid w:val="00612E05"/>
    <w:rsid w:val="00613504"/>
    <w:rsid w:val="006139D4"/>
    <w:rsid w:val="00613A75"/>
    <w:rsid w:val="00614613"/>
    <w:rsid w:val="00614DC3"/>
    <w:rsid w:val="00615748"/>
    <w:rsid w:val="00615A2B"/>
    <w:rsid w:val="00615A8C"/>
    <w:rsid w:val="0061654F"/>
    <w:rsid w:val="0061696D"/>
    <w:rsid w:val="00617014"/>
    <w:rsid w:val="00617195"/>
    <w:rsid w:val="00617265"/>
    <w:rsid w:val="006172F6"/>
    <w:rsid w:val="00617636"/>
    <w:rsid w:val="00621510"/>
    <w:rsid w:val="00621DE2"/>
    <w:rsid w:val="006223D8"/>
    <w:rsid w:val="00623B79"/>
    <w:rsid w:val="006240E2"/>
    <w:rsid w:val="00624457"/>
    <w:rsid w:val="006244DF"/>
    <w:rsid w:val="0062709C"/>
    <w:rsid w:val="006271AA"/>
    <w:rsid w:val="00630705"/>
    <w:rsid w:val="0063347A"/>
    <w:rsid w:val="00634577"/>
    <w:rsid w:val="0063545E"/>
    <w:rsid w:val="00637298"/>
    <w:rsid w:val="0063757F"/>
    <w:rsid w:val="00637DFC"/>
    <w:rsid w:val="00637E44"/>
    <w:rsid w:val="00642546"/>
    <w:rsid w:val="00642D52"/>
    <w:rsid w:val="006433F0"/>
    <w:rsid w:val="00643B53"/>
    <w:rsid w:val="006441E4"/>
    <w:rsid w:val="00644693"/>
    <w:rsid w:val="006451F2"/>
    <w:rsid w:val="006457BB"/>
    <w:rsid w:val="00646022"/>
    <w:rsid w:val="006476FD"/>
    <w:rsid w:val="00647F99"/>
    <w:rsid w:val="006502F8"/>
    <w:rsid w:val="0065084B"/>
    <w:rsid w:val="00650982"/>
    <w:rsid w:val="006514F5"/>
    <w:rsid w:val="006519E8"/>
    <w:rsid w:val="0065358B"/>
    <w:rsid w:val="00654027"/>
    <w:rsid w:val="00654A63"/>
    <w:rsid w:val="00654AB7"/>
    <w:rsid w:val="00655148"/>
    <w:rsid w:val="00656EBC"/>
    <w:rsid w:val="006577DB"/>
    <w:rsid w:val="00657A4D"/>
    <w:rsid w:val="00657E61"/>
    <w:rsid w:val="00660E4F"/>
    <w:rsid w:val="00660E52"/>
    <w:rsid w:val="0066172B"/>
    <w:rsid w:val="00662010"/>
    <w:rsid w:val="0066284B"/>
    <w:rsid w:val="00662D59"/>
    <w:rsid w:val="00663BBA"/>
    <w:rsid w:val="00664691"/>
    <w:rsid w:val="00665473"/>
    <w:rsid w:val="006660D7"/>
    <w:rsid w:val="006664D5"/>
    <w:rsid w:val="006668CA"/>
    <w:rsid w:val="0066695C"/>
    <w:rsid w:val="006677B1"/>
    <w:rsid w:val="006679F4"/>
    <w:rsid w:val="006706DC"/>
    <w:rsid w:val="0067274B"/>
    <w:rsid w:val="00673851"/>
    <w:rsid w:val="0067386D"/>
    <w:rsid w:val="00674C13"/>
    <w:rsid w:val="00674C51"/>
    <w:rsid w:val="00674D0D"/>
    <w:rsid w:val="00675291"/>
    <w:rsid w:val="00675356"/>
    <w:rsid w:val="006754F8"/>
    <w:rsid w:val="00675A5A"/>
    <w:rsid w:val="00675C52"/>
    <w:rsid w:val="00676DDE"/>
    <w:rsid w:val="00677639"/>
    <w:rsid w:val="00677D37"/>
    <w:rsid w:val="00680E32"/>
    <w:rsid w:val="00681398"/>
    <w:rsid w:val="00681414"/>
    <w:rsid w:val="00682D34"/>
    <w:rsid w:val="00683B0C"/>
    <w:rsid w:val="006843F3"/>
    <w:rsid w:val="0068440C"/>
    <w:rsid w:val="0068458A"/>
    <w:rsid w:val="006845C0"/>
    <w:rsid w:val="006847D7"/>
    <w:rsid w:val="0068527A"/>
    <w:rsid w:val="00685768"/>
    <w:rsid w:val="00685C54"/>
    <w:rsid w:val="006862BA"/>
    <w:rsid w:val="0068667E"/>
    <w:rsid w:val="0068761F"/>
    <w:rsid w:val="00691B90"/>
    <w:rsid w:val="006925E4"/>
    <w:rsid w:val="00692741"/>
    <w:rsid w:val="0069292D"/>
    <w:rsid w:val="00692940"/>
    <w:rsid w:val="00693027"/>
    <w:rsid w:val="006936BD"/>
    <w:rsid w:val="00694471"/>
    <w:rsid w:val="00694491"/>
    <w:rsid w:val="00694702"/>
    <w:rsid w:val="006950CA"/>
    <w:rsid w:val="0069544E"/>
    <w:rsid w:val="00695D08"/>
    <w:rsid w:val="00695E04"/>
    <w:rsid w:val="00696750"/>
    <w:rsid w:val="0069682C"/>
    <w:rsid w:val="006972AE"/>
    <w:rsid w:val="00697ACE"/>
    <w:rsid w:val="00697D93"/>
    <w:rsid w:val="006A1A54"/>
    <w:rsid w:val="006A1CAE"/>
    <w:rsid w:val="006A1D1B"/>
    <w:rsid w:val="006A1D63"/>
    <w:rsid w:val="006A2B6A"/>
    <w:rsid w:val="006A30F4"/>
    <w:rsid w:val="006A3255"/>
    <w:rsid w:val="006A539D"/>
    <w:rsid w:val="006A6F8A"/>
    <w:rsid w:val="006A7AFA"/>
    <w:rsid w:val="006B081A"/>
    <w:rsid w:val="006B08B4"/>
    <w:rsid w:val="006B0DF3"/>
    <w:rsid w:val="006B1A8A"/>
    <w:rsid w:val="006B1B7A"/>
    <w:rsid w:val="006B23E1"/>
    <w:rsid w:val="006B23F4"/>
    <w:rsid w:val="006B29FA"/>
    <w:rsid w:val="006B2BD9"/>
    <w:rsid w:val="006B35E0"/>
    <w:rsid w:val="006B44FF"/>
    <w:rsid w:val="006B496C"/>
    <w:rsid w:val="006B4E51"/>
    <w:rsid w:val="006B5825"/>
    <w:rsid w:val="006B6EE8"/>
    <w:rsid w:val="006B78F7"/>
    <w:rsid w:val="006B7A11"/>
    <w:rsid w:val="006C1662"/>
    <w:rsid w:val="006C240F"/>
    <w:rsid w:val="006C2AB0"/>
    <w:rsid w:val="006C3A2B"/>
    <w:rsid w:val="006C442A"/>
    <w:rsid w:val="006C503F"/>
    <w:rsid w:val="006C5B10"/>
    <w:rsid w:val="006C5B40"/>
    <w:rsid w:val="006C5C79"/>
    <w:rsid w:val="006C5D89"/>
    <w:rsid w:val="006C61CF"/>
    <w:rsid w:val="006C6B7D"/>
    <w:rsid w:val="006C7836"/>
    <w:rsid w:val="006C7A2B"/>
    <w:rsid w:val="006C7A95"/>
    <w:rsid w:val="006C7C9D"/>
    <w:rsid w:val="006D07B9"/>
    <w:rsid w:val="006D081F"/>
    <w:rsid w:val="006D0B97"/>
    <w:rsid w:val="006D0FA9"/>
    <w:rsid w:val="006D2674"/>
    <w:rsid w:val="006D2AC0"/>
    <w:rsid w:val="006D2B93"/>
    <w:rsid w:val="006D2BA6"/>
    <w:rsid w:val="006D39C1"/>
    <w:rsid w:val="006D39FE"/>
    <w:rsid w:val="006D3DA6"/>
    <w:rsid w:val="006D49DF"/>
    <w:rsid w:val="006D5AD3"/>
    <w:rsid w:val="006D6533"/>
    <w:rsid w:val="006D6ECA"/>
    <w:rsid w:val="006D6ECB"/>
    <w:rsid w:val="006D70B9"/>
    <w:rsid w:val="006D74B9"/>
    <w:rsid w:val="006D7AA6"/>
    <w:rsid w:val="006D7C76"/>
    <w:rsid w:val="006E00F4"/>
    <w:rsid w:val="006E027D"/>
    <w:rsid w:val="006E036E"/>
    <w:rsid w:val="006E07CC"/>
    <w:rsid w:val="006E0D33"/>
    <w:rsid w:val="006E0E02"/>
    <w:rsid w:val="006E0E2A"/>
    <w:rsid w:val="006E1D6F"/>
    <w:rsid w:val="006E2664"/>
    <w:rsid w:val="006E2C3C"/>
    <w:rsid w:val="006E2EC3"/>
    <w:rsid w:val="006E3316"/>
    <w:rsid w:val="006E3812"/>
    <w:rsid w:val="006E3D3A"/>
    <w:rsid w:val="006E3F4D"/>
    <w:rsid w:val="006E40C1"/>
    <w:rsid w:val="006E5164"/>
    <w:rsid w:val="006E62D4"/>
    <w:rsid w:val="006E6931"/>
    <w:rsid w:val="006E7D63"/>
    <w:rsid w:val="006E7ECE"/>
    <w:rsid w:val="006F0843"/>
    <w:rsid w:val="006F105B"/>
    <w:rsid w:val="006F26EE"/>
    <w:rsid w:val="006F34F2"/>
    <w:rsid w:val="006F35A0"/>
    <w:rsid w:val="006F3CC9"/>
    <w:rsid w:val="006F3E29"/>
    <w:rsid w:val="006F4250"/>
    <w:rsid w:val="006F4442"/>
    <w:rsid w:val="006F447A"/>
    <w:rsid w:val="006F4AB6"/>
    <w:rsid w:val="006F4BDD"/>
    <w:rsid w:val="006F5255"/>
    <w:rsid w:val="006F5781"/>
    <w:rsid w:val="006F5B6A"/>
    <w:rsid w:val="006F5CAB"/>
    <w:rsid w:val="006F5F6C"/>
    <w:rsid w:val="006F6C0E"/>
    <w:rsid w:val="006F6E3A"/>
    <w:rsid w:val="006F7294"/>
    <w:rsid w:val="006F7686"/>
    <w:rsid w:val="006F7D44"/>
    <w:rsid w:val="006F7FA5"/>
    <w:rsid w:val="00700160"/>
    <w:rsid w:val="0070035A"/>
    <w:rsid w:val="0070102B"/>
    <w:rsid w:val="00701237"/>
    <w:rsid w:val="00701F23"/>
    <w:rsid w:val="00702761"/>
    <w:rsid w:val="007032D6"/>
    <w:rsid w:val="00703732"/>
    <w:rsid w:val="0070373A"/>
    <w:rsid w:val="007037E8"/>
    <w:rsid w:val="00704CD2"/>
    <w:rsid w:val="0070570A"/>
    <w:rsid w:val="007057B4"/>
    <w:rsid w:val="00706104"/>
    <w:rsid w:val="007062E1"/>
    <w:rsid w:val="007064F3"/>
    <w:rsid w:val="00706C20"/>
    <w:rsid w:val="0070750A"/>
    <w:rsid w:val="007077E9"/>
    <w:rsid w:val="0070787E"/>
    <w:rsid w:val="007079BF"/>
    <w:rsid w:val="007079CF"/>
    <w:rsid w:val="00707C51"/>
    <w:rsid w:val="00710402"/>
    <w:rsid w:val="00710BBF"/>
    <w:rsid w:val="00710FEE"/>
    <w:rsid w:val="0071109D"/>
    <w:rsid w:val="00711AB6"/>
    <w:rsid w:val="00711C1D"/>
    <w:rsid w:val="00711DC2"/>
    <w:rsid w:val="00712810"/>
    <w:rsid w:val="00712DC4"/>
    <w:rsid w:val="00712FEB"/>
    <w:rsid w:val="007131AA"/>
    <w:rsid w:val="0071394C"/>
    <w:rsid w:val="00714C69"/>
    <w:rsid w:val="00715D54"/>
    <w:rsid w:val="0071650E"/>
    <w:rsid w:val="00716A30"/>
    <w:rsid w:val="0071757F"/>
    <w:rsid w:val="007175CD"/>
    <w:rsid w:val="00717644"/>
    <w:rsid w:val="007176E1"/>
    <w:rsid w:val="007178D9"/>
    <w:rsid w:val="00717B3B"/>
    <w:rsid w:val="00717FDF"/>
    <w:rsid w:val="00720087"/>
    <w:rsid w:val="00720594"/>
    <w:rsid w:val="00721DEE"/>
    <w:rsid w:val="00722729"/>
    <w:rsid w:val="007227FF"/>
    <w:rsid w:val="0072283A"/>
    <w:rsid w:val="00722926"/>
    <w:rsid w:val="00722E3F"/>
    <w:rsid w:val="0072325F"/>
    <w:rsid w:val="0072356A"/>
    <w:rsid w:val="00723D18"/>
    <w:rsid w:val="00723EAD"/>
    <w:rsid w:val="007240AD"/>
    <w:rsid w:val="0072449A"/>
    <w:rsid w:val="00724D4B"/>
    <w:rsid w:val="0072550B"/>
    <w:rsid w:val="007256F5"/>
    <w:rsid w:val="0072585C"/>
    <w:rsid w:val="007264E8"/>
    <w:rsid w:val="00726CC2"/>
    <w:rsid w:val="00727029"/>
    <w:rsid w:val="00727A01"/>
    <w:rsid w:val="00727CE6"/>
    <w:rsid w:val="00727DA2"/>
    <w:rsid w:val="00730174"/>
    <w:rsid w:val="0073040C"/>
    <w:rsid w:val="00730F94"/>
    <w:rsid w:val="007311CA"/>
    <w:rsid w:val="007318A3"/>
    <w:rsid w:val="00732392"/>
    <w:rsid w:val="0073249C"/>
    <w:rsid w:val="007327A9"/>
    <w:rsid w:val="00732CC1"/>
    <w:rsid w:val="007343D3"/>
    <w:rsid w:val="00734C3C"/>
    <w:rsid w:val="00734C9E"/>
    <w:rsid w:val="007352F6"/>
    <w:rsid w:val="00735354"/>
    <w:rsid w:val="00735503"/>
    <w:rsid w:val="00735C20"/>
    <w:rsid w:val="00736BF5"/>
    <w:rsid w:val="00736E52"/>
    <w:rsid w:val="007375DB"/>
    <w:rsid w:val="0073781D"/>
    <w:rsid w:val="007379E2"/>
    <w:rsid w:val="00740BDB"/>
    <w:rsid w:val="00740EEA"/>
    <w:rsid w:val="0074103B"/>
    <w:rsid w:val="0074128C"/>
    <w:rsid w:val="0074254C"/>
    <w:rsid w:val="00742C64"/>
    <w:rsid w:val="00742EC0"/>
    <w:rsid w:val="00745280"/>
    <w:rsid w:val="00745A25"/>
    <w:rsid w:val="00746F21"/>
    <w:rsid w:val="00747124"/>
    <w:rsid w:val="007473A0"/>
    <w:rsid w:val="007473A8"/>
    <w:rsid w:val="00747495"/>
    <w:rsid w:val="00747DD6"/>
    <w:rsid w:val="00750E57"/>
    <w:rsid w:val="0075107B"/>
    <w:rsid w:val="00751910"/>
    <w:rsid w:val="00751BF2"/>
    <w:rsid w:val="0075273F"/>
    <w:rsid w:val="00752767"/>
    <w:rsid w:val="0075436F"/>
    <w:rsid w:val="00754424"/>
    <w:rsid w:val="00754897"/>
    <w:rsid w:val="00754969"/>
    <w:rsid w:val="00754A77"/>
    <w:rsid w:val="00755222"/>
    <w:rsid w:val="00755291"/>
    <w:rsid w:val="00755906"/>
    <w:rsid w:val="00756029"/>
    <w:rsid w:val="007573C1"/>
    <w:rsid w:val="007574AA"/>
    <w:rsid w:val="007601BD"/>
    <w:rsid w:val="007606D2"/>
    <w:rsid w:val="007610FA"/>
    <w:rsid w:val="007617A6"/>
    <w:rsid w:val="0076183C"/>
    <w:rsid w:val="00761E7B"/>
    <w:rsid w:val="00762369"/>
    <w:rsid w:val="007629B5"/>
    <w:rsid w:val="00762CB8"/>
    <w:rsid w:val="00763EC6"/>
    <w:rsid w:val="007648AA"/>
    <w:rsid w:val="007654E8"/>
    <w:rsid w:val="007656F9"/>
    <w:rsid w:val="00765A78"/>
    <w:rsid w:val="00765E71"/>
    <w:rsid w:val="00766C2C"/>
    <w:rsid w:val="00766C6D"/>
    <w:rsid w:val="007672A5"/>
    <w:rsid w:val="00767514"/>
    <w:rsid w:val="0076798A"/>
    <w:rsid w:val="00767DC5"/>
    <w:rsid w:val="0077005D"/>
    <w:rsid w:val="00770DB8"/>
    <w:rsid w:val="007713C5"/>
    <w:rsid w:val="00772540"/>
    <w:rsid w:val="00772CF1"/>
    <w:rsid w:val="00774074"/>
    <w:rsid w:val="00774361"/>
    <w:rsid w:val="0077436A"/>
    <w:rsid w:val="007745DA"/>
    <w:rsid w:val="00775090"/>
    <w:rsid w:val="00775D7C"/>
    <w:rsid w:val="007765B0"/>
    <w:rsid w:val="00776944"/>
    <w:rsid w:val="00776D01"/>
    <w:rsid w:val="00777541"/>
    <w:rsid w:val="007776C1"/>
    <w:rsid w:val="00777D14"/>
    <w:rsid w:val="007803DC"/>
    <w:rsid w:val="0078046B"/>
    <w:rsid w:val="007807BE"/>
    <w:rsid w:val="0078086D"/>
    <w:rsid w:val="00780DBA"/>
    <w:rsid w:val="00780F5D"/>
    <w:rsid w:val="00780FB6"/>
    <w:rsid w:val="00781369"/>
    <w:rsid w:val="0078233E"/>
    <w:rsid w:val="00782582"/>
    <w:rsid w:val="00782AC2"/>
    <w:rsid w:val="00782D81"/>
    <w:rsid w:val="00783210"/>
    <w:rsid w:val="0078329D"/>
    <w:rsid w:val="007832DC"/>
    <w:rsid w:val="00783EF8"/>
    <w:rsid w:val="0078409C"/>
    <w:rsid w:val="007845E9"/>
    <w:rsid w:val="00784ACD"/>
    <w:rsid w:val="00785690"/>
    <w:rsid w:val="007858D8"/>
    <w:rsid w:val="00785989"/>
    <w:rsid w:val="0078657B"/>
    <w:rsid w:val="00787357"/>
    <w:rsid w:val="007875E7"/>
    <w:rsid w:val="0078767E"/>
    <w:rsid w:val="0078791A"/>
    <w:rsid w:val="00787BD4"/>
    <w:rsid w:val="0079000D"/>
    <w:rsid w:val="00790304"/>
    <w:rsid w:val="0079188B"/>
    <w:rsid w:val="00791B06"/>
    <w:rsid w:val="00792614"/>
    <w:rsid w:val="00792671"/>
    <w:rsid w:val="00794E9B"/>
    <w:rsid w:val="00795348"/>
    <w:rsid w:val="00795CEE"/>
    <w:rsid w:val="00795E7F"/>
    <w:rsid w:val="007964CD"/>
    <w:rsid w:val="007970AD"/>
    <w:rsid w:val="00797158"/>
    <w:rsid w:val="007A027E"/>
    <w:rsid w:val="007A0603"/>
    <w:rsid w:val="007A06A3"/>
    <w:rsid w:val="007A0D3A"/>
    <w:rsid w:val="007A1CA1"/>
    <w:rsid w:val="007A22D4"/>
    <w:rsid w:val="007A3853"/>
    <w:rsid w:val="007A4260"/>
    <w:rsid w:val="007A457E"/>
    <w:rsid w:val="007A48D9"/>
    <w:rsid w:val="007A538D"/>
    <w:rsid w:val="007A5E70"/>
    <w:rsid w:val="007A5EBB"/>
    <w:rsid w:val="007A652E"/>
    <w:rsid w:val="007A73B8"/>
    <w:rsid w:val="007B020B"/>
    <w:rsid w:val="007B1C3A"/>
    <w:rsid w:val="007B2361"/>
    <w:rsid w:val="007B2D0F"/>
    <w:rsid w:val="007B3933"/>
    <w:rsid w:val="007B3E58"/>
    <w:rsid w:val="007B4E3C"/>
    <w:rsid w:val="007B5577"/>
    <w:rsid w:val="007B61B9"/>
    <w:rsid w:val="007B71B2"/>
    <w:rsid w:val="007B73A5"/>
    <w:rsid w:val="007B7941"/>
    <w:rsid w:val="007B7F36"/>
    <w:rsid w:val="007C00BC"/>
    <w:rsid w:val="007C0A15"/>
    <w:rsid w:val="007C0C8B"/>
    <w:rsid w:val="007C12C6"/>
    <w:rsid w:val="007C1CF9"/>
    <w:rsid w:val="007C3122"/>
    <w:rsid w:val="007C3202"/>
    <w:rsid w:val="007C4123"/>
    <w:rsid w:val="007C4B9D"/>
    <w:rsid w:val="007C4CEB"/>
    <w:rsid w:val="007C5739"/>
    <w:rsid w:val="007C6DA7"/>
    <w:rsid w:val="007D020B"/>
    <w:rsid w:val="007D09FF"/>
    <w:rsid w:val="007D0D39"/>
    <w:rsid w:val="007D10FD"/>
    <w:rsid w:val="007D143A"/>
    <w:rsid w:val="007D2360"/>
    <w:rsid w:val="007D2A13"/>
    <w:rsid w:val="007D2AAF"/>
    <w:rsid w:val="007D30BA"/>
    <w:rsid w:val="007D3C3F"/>
    <w:rsid w:val="007D41C9"/>
    <w:rsid w:val="007D4365"/>
    <w:rsid w:val="007D4A6F"/>
    <w:rsid w:val="007D5509"/>
    <w:rsid w:val="007D5B32"/>
    <w:rsid w:val="007D6807"/>
    <w:rsid w:val="007D78E8"/>
    <w:rsid w:val="007D7E32"/>
    <w:rsid w:val="007E0E5E"/>
    <w:rsid w:val="007E22C0"/>
    <w:rsid w:val="007E2DCD"/>
    <w:rsid w:val="007E363E"/>
    <w:rsid w:val="007E3B65"/>
    <w:rsid w:val="007E3D2F"/>
    <w:rsid w:val="007E44B0"/>
    <w:rsid w:val="007E4732"/>
    <w:rsid w:val="007E51BF"/>
    <w:rsid w:val="007E62C7"/>
    <w:rsid w:val="007E6642"/>
    <w:rsid w:val="007E6704"/>
    <w:rsid w:val="007E6878"/>
    <w:rsid w:val="007E7006"/>
    <w:rsid w:val="007E7052"/>
    <w:rsid w:val="007E7564"/>
    <w:rsid w:val="007E786F"/>
    <w:rsid w:val="007F09AD"/>
    <w:rsid w:val="007F15AC"/>
    <w:rsid w:val="007F17CE"/>
    <w:rsid w:val="007F321D"/>
    <w:rsid w:val="007F3584"/>
    <w:rsid w:val="007F4191"/>
    <w:rsid w:val="007F41D4"/>
    <w:rsid w:val="007F50CC"/>
    <w:rsid w:val="007F5122"/>
    <w:rsid w:val="007F5C4F"/>
    <w:rsid w:val="007F6543"/>
    <w:rsid w:val="007F6B82"/>
    <w:rsid w:val="007F6BA8"/>
    <w:rsid w:val="007F7200"/>
    <w:rsid w:val="007F72A5"/>
    <w:rsid w:val="00800518"/>
    <w:rsid w:val="00801862"/>
    <w:rsid w:val="008025FF"/>
    <w:rsid w:val="00802F75"/>
    <w:rsid w:val="00803A1F"/>
    <w:rsid w:val="00803BAC"/>
    <w:rsid w:val="00803BD7"/>
    <w:rsid w:val="00804FF6"/>
    <w:rsid w:val="00805A6A"/>
    <w:rsid w:val="00805CAE"/>
    <w:rsid w:val="008065FD"/>
    <w:rsid w:val="0080682C"/>
    <w:rsid w:val="0080739C"/>
    <w:rsid w:val="00807ED7"/>
    <w:rsid w:val="0081048D"/>
    <w:rsid w:val="00810D98"/>
    <w:rsid w:val="00811884"/>
    <w:rsid w:val="00811AEC"/>
    <w:rsid w:val="00812912"/>
    <w:rsid w:val="00812D5B"/>
    <w:rsid w:val="0081361F"/>
    <w:rsid w:val="00813D45"/>
    <w:rsid w:val="00813E0A"/>
    <w:rsid w:val="008142EF"/>
    <w:rsid w:val="0081461F"/>
    <w:rsid w:val="00814B3D"/>
    <w:rsid w:val="00814E41"/>
    <w:rsid w:val="0081528D"/>
    <w:rsid w:val="008154FA"/>
    <w:rsid w:val="00815A32"/>
    <w:rsid w:val="00815EF6"/>
    <w:rsid w:val="00816266"/>
    <w:rsid w:val="00816E1B"/>
    <w:rsid w:val="00817037"/>
    <w:rsid w:val="00817520"/>
    <w:rsid w:val="008179C6"/>
    <w:rsid w:val="00817FB7"/>
    <w:rsid w:val="00820460"/>
    <w:rsid w:val="00820C78"/>
    <w:rsid w:val="00820DA2"/>
    <w:rsid w:val="00821A4D"/>
    <w:rsid w:val="008220DA"/>
    <w:rsid w:val="008221A8"/>
    <w:rsid w:val="00822229"/>
    <w:rsid w:val="008224BB"/>
    <w:rsid w:val="00822A49"/>
    <w:rsid w:val="008231D1"/>
    <w:rsid w:val="00823438"/>
    <w:rsid w:val="00823D0F"/>
    <w:rsid w:val="00824459"/>
    <w:rsid w:val="008249AA"/>
    <w:rsid w:val="00824A35"/>
    <w:rsid w:val="00824DED"/>
    <w:rsid w:val="00825533"/>
    <w:rsid w:val="00825759"/>
    <w:rsid w:val="00826027"/>
    <w:rsid w:val="00826EF4"/>
    <w:rsid w:val="0082746E"/>
    <w:rsid w:val="00827E26"/>
    <w:rsid w:val="00827F24"/>
    <w:rsid w:val="008301DF"/>
    <w:rsid w:val="00830865"/>
    <w:rsid w:val="00830B70"/>
    <w:rsid w:val="00830CEE"/>
    <w:rsid w:val="00831121"/>
    <w:rsid w:val="008312D2"/>
    <w:rsid w:val="008314FB"/>
    <w:rsid w:val="00831605"/>
    <w:rsid w:val="008325E0"/>
    <w:rsid w:val="00833528"/>
    <w:rsid w:val="008335FA"/>
    <w:rsid w:val="008339A5"/>
    <w:rsid w:val="008341C8"/>
    <w:rsid w:val="0083466F"/>
    <w:rsid w:val="00835D25"/>
    <w:rsid w:val="0083629B"/>
    <w:rsid w:val="0083629F"/>
    <w:rsid w:val="0083635C"/>
    <w:rsid w:val="008371D0"/>
    <w:rsid w:val="008377C9"/>
    <w:rsid w:val="00840804"/>
    <w:rsid w:val="00840AB8"/>
    <w:rsid w:val="0084158D"/>
    <w:rsid w:val="00841BE1"/>
    <w:rsid w:val="00841C43"/>
    <w:rsid w:val="00842E63"/>
    <w:rsid w:val="0084355E"/>
    <w:rsid w:val="00843654"/>
    <w:rsid w:val="00843F5A"/>
    <w:rsid w:val="00844564"/>
    <w:rsid w:val="00844820"/>
    <w:rsid w:val="00844E98"/>
    <w:rsid w:val="008452F8"/>
    <w:rsid w:val="0084634C"/>
    <w:rsid w:val="008463E9"/>
    <w:rsid w:val="008468C4"/>
    <w:rsid w:val="00846B2C"/>
    <w:rsid w:val="00847199"/>
    <w:rsid w:val="00850BBC"/>
    <w:rsid w:val="00850F32"/>
    <w:rsid w:val="0085169B"/>
    <w:rsid w:val="0085171F"/>
    <w:rsid w:val="00852B6A"/>
    <w:rsid w:val="00853420"/>
    <w:rsid w:val="008537E7"/>
    <w:rsid w:val="008550CF"/>
    <w:rsid w:val="00855C83"/>
    <w:rsid w:val="0085663D"/>
    <w:rsid w:val="0085732B"/>
    <w:rsid w:val="00857852"/>
    <w:rsid w:val="00860CB4"/>
    <w:rsid w:val="00860FFB"/>
    <w:rsid w:val="0086243F"/>
    <w:rsid w:val="00863209"/>
    <w:rsid w:val="0086359A"/>
    <w:rsid w:val="00863DBC"/>
    <w:rsid w:val="008641AB"/>
    <w:rsid w:val="008641CC"/>
    <w:rsid w:val="00865280"/>
    <w:rsid w:val="008653CF"/>
    <w:rsid w:val="0086555A"/>
    <w:rsid w:val="00866124"/>
    <w:rsid w:val="00866560"/>
    <w:rsid w:val="00866821"/>
    <w:rsid w:val="00867155"/>
    <w:rsid w:val="00867BA8"/>
    <w:rsid w:val="008709BC"/>
    <w:rsid w:val="00870C55"/>
    <w:rsid w:val="0087153C"/>
    <w:rsid w:val="008719DD"/>
    <w:rsid w:val="00871A19"/>
    <w:rsid w:val="0087220F"/>
    <w:rsid w:val="008740A7"/>
    <w:rsid w:val="00874483"/>
    <w:rsid w:val="008749E3"/>
    <w:rsid w:val="008755F3"/>
    <w:rsid w:val="00875755"/>
    <w:rsid w:val="0087720E"/>
    <w:rsid w:val="00877773"/>
    <w:rsid w:val="00877FEF"/>
    <w:rsid w:val="00880009"/>
    <w:rsid w:val="00880343"/>
    <w:rsid w:val="008805E6"/>
    <w:rsid w:val="008807F9"/>
    <w:rsid w:val="00881234"/>
    <w:rsid w:val="00881273"/>
    <w:rsid w:val="0088173C"/>
    <w:rsid w:val="00881C82"/>
    <w:rsid w:val="00882052"/>
    <w:rsid w:val="008831FA"/>
    <w:rsid w:val="00883234"/>
    <w:rsid w:val="008846E5"/>
    <w:rsid w:val="00884D4F"/>
    <w:rsid w:val="0088507A"/>
    <w:rsid w:val="00886776"/>
    <w:rsid w:val="00886C19"/>
    <w:rsid w:val="00887BFB"/>
    <w:rsid w:val="0089018D"/>
    <w:rsid w:val="008901C2"/>
    <w:rsid w:val="0089067E"/>
    <w:rsid w:val="00890E68"/>
    <w:rsid w:val="0089123B"/>
    <w:rsid w:val="008916E4"/>
    <w:rsid w:val="008918F5"/>
    <w:rsid w:val="008919EF"/>
    <w:rsid w:val="00891B1A"/>
    <w:rsid w:val="00891F74"/>
    <w:rsid w:val="00892862"/>
    <w:rsid w:val="00892F7E"/>
    <w:rsid w:val="00893635"/>
    <w:rsid w:val="00893700"/>
    <w:rsid w:val="00894346"/>
    <w:rsid w:val="0089568F"/>
    <w:rsid w:val="00895D1D"/>
    <w:rsid w:val="00895FDD"/>
    <w:rsid w:val="00896A71"/>
    <w:rsid w:val="00896ACC"/>
    <w:rsid w:val="008A12B7"/>
    <w:rsid w:val="008A1549"/>
    <w:rsid w:val="008A2AE4"/>
    <w:rsid w:val="008A2AF8"/>
    <w:rsid w:val="008A2B0F"/>
    <w:rsid w:val="008A2F1F"/>
    <w:rsid w:val="008A3062"/>
    <w:rsid w:val="008A32C6"/>
    <w:rsid w:val="008A5C42"/>
    <w:rsid w:val="008A6617"/>
    <w:rsid w:val="008A7164"/>
    <w:rsid w:val="008A7919"/>
    <w:rsid w:val="008A7A2B"/>
    <w:rsid w:val="008A7A79"/>
    <w:rsid w:val="008A7B55"/>
    <w:rsid w:val="008B03F6"/>
    <w:rsid w:val="008B1642"/>
    <w:rsid w:val="008B2106"/>
    <w:rsid w:val="008B2CAE"/>
    <w:rsid w:val="008B3763"/>
    <w:rsid w:val="008B3908"/>
    <w:rsid w:val="008B3C83"/>
    <w:rsid w:val="008B44AF"/>
    <w:rsid w:val="008B4A3B"/>
    <w:rsid w:val="008B4BA9"/>
    <w:rsid w:val="008B509A"/>
    <w:rsid w:val="008B5C75"/>
    <w:rsid w:val="008B6CD8"/>
    <w:rsid w:val="008C0C05"/>
    <w:rsid w:val="008C0E5D"/>
    <w:rsid w:val="008C1E4E"/>
    <w:rsid w:val="008C2459"/>
    <w:rsid w:val="008C36A6"/>
    <w:rsid w:val="008C3CB4"/>
    <w:rsid w:val="008C3D58"/>
    <w:rsid w:val="008C3F03"/>
    <w:rsid w:val="008C60B3"/>
    <w:rsid w:val="008C62A4"/>
    <w:rsid w:val="008C64B2"/>
    <w:rsid w:val="008C6668"/>
    <w:rsid w:val="008C6669"/>
    <w:rsid w:val="008C6AF6"/>
    <w:rsid w:val="008C6C40"/>
    <w:rsid w:val="008C7826"/>
    <w:rsid w:val="008D05A8"/>
    <w:rsid w:val="008D0762"/>
    <w:rsid w:val="008D1435"/>
    <w:rsid w:val="008D2301"/>
    <w:rsid w:val="008D387F"/>
    <w:rsid w:val="008D48EC"/>
    <w:rsid w:val="008D4CB6"/>
    <w:rsid w:val="008D5F2E"/>
    <w:rsid w:val="008D6B5E"/>
    <w:rsid w:val="008D6C19"/>
    <w:rsid w:val="008D70E2"/>
    <w:rsid w:val="008E0548"/>
    <w:rsid w:val="008E0E30"/>
    <w:rsid w:val="008E0F69"/>
    <w:rsid w:val="008E0F70"/>
    <w:rsid w:val="008E1215"/>
    <w:rsid w:val="008E1291"/>
    <w:rsid w:val="008E1A3B"/>
    <w:rsid w:val="008E1DC1"/>
    <w:rsid w:val="008E1EE3"/>
    <w:rsid w:val="008E21D0"/>
    <w:rsid w:val="008E2266"/>
    <w:rsid w:val="008E2521"/>
    <w:rsid w:val="008E275E"/>
    <w:rsid w:val="008E27E6"/>
    <w:rsid w:val="008E30E1"/>
    <w:rsid w:val="008E3B6B"/>
    <w:rsid w:val="008E3D56"/>
    <w:rsid w:val="008E481A"/>
    <w:rsid w:val="008E4BB0"/>
    <w:rsid w:val="008E4FFD"/>
    <w:rsid w:val="008E564A"/>
    <w:rsid w:val="008E5845"/>
    <w:rsid w:val="008E5901"/>
    <w:rsid w:val="008E69AD"/>
    <w:rsid w:val="008E6DCC"/>
    <w:rsid w:val="008E7E89"/>
    <w:rsid w:val="008F04BF"/>
    <w:rsid w:val="008F0561"/>
    <w:rsid w:val="008F05F1"/>
    <w:rsid w:val="008F0646"/>
    <w:rsid w:val="008F0B65"/>
    <w:rsid w:val="008F2212"/>
    <w:rsid w:val="008F2D36"/>
    <w:rsid w:val="008F3E22"/>
    <w:rsid w:val="008F40F5"/>
    <w:rsid w:val="008F431E"/>
    <w:rsid w:val="008F45B8"/>
    <w:rsid w:val="008F4F87"/>
    <w:rsid w:val="008F55AD"/>
    <w:rsid w:val="008F5975"/>
    <w:rsid w:val="008F5B10"/>
    <w:rsid w:val="008F7B9E"/>
    <w:rsid w:val="009005DB"/>
    <w:rsid w:val="009006FE"/>
    <w:rsid w:val="0090096F"/>
    <w:rsid w:val="00900BB9"/>
    <w:rsid w:val="0090182C"/>
    <w:rsid w:val="0090215A"/>
    <w:rsid w:val="00902500"/>
    <w:rsid w:val="009028E4"/>
    <w:rsid w:val="00902A36"/>
    <w:rsid w:val="00902D1F"/>
    <w:rsid w:val="00903219"/>
    <w:rsid w:val="00903862"/>
    <w:rsid w:val="00903A23"/>
    <w:rsid w:val="00903C8A"/>
    <w:rsid w:val="0090476A"/>
    <w:rsid w:val="00907610"/>
    <w:rsid w:val="009076A0"/>
    <w:rsid w:val="009111D3"/>
    <w:rsid w:val="0091146F"/>
    <w:rsid w:val="00911E1E"/>
    <w:rsid w:val="009127DB"/>
    <w:rsid w:val="00913178"/>
    <w:rsid w:val="00913372"/>
    <w:rsid w:val="00916245"/>
    <w:rsid w:val="00916993"/>
    <w:rsid w:val="009169ED"/>
    <w:rsid w:val="009175BA"/>
    <w:rsid w:val="009175C4"/>
    <w:rsid w:val="009176D6"/>
    <w:rsid w:val="00920A8B"/>
    <w:rsid w:val="00920EEA"/>
    <w:rsid w:val="00920FCF"/>
    <w:rsid w:val="009210D4"/>
    <w:rsid w:val="00921421"/>
    <w:rsid w:val="0092155C"/>
    <w:rsid w:val="00921830"/>
    <w:rsid w:val="00921C22"/>
    <w:rsid w:val="00921D83"/>
    <w:rsid w:val="00922B1B"/>
    <w:rsid w:val="009230CF"/>
    <w:rsid w:val="00923600"/>
    <w:rsid w:val="00923AB5"/>
    <w:rsid w:val="009240EA"/>
    <w:rsid w:val="009260F4"/>
    <w:rsid w:val="009261B9"/>
    <w:rsid w:val="00926237"/>
    <w:rsid w:val="009269BB"/>
    <w:rsid w:val="00926AD5"/>
    <w:rsid w:val="00926DAE"/>
    <w:rsid w:val="00926E73"/>
    <w:rsid w:val="00927458"/>
    <w:rsid w:val="00927745"/>
    <w:rsid w:val="009305C9"/>
    <w:rsid w:val="00930D01"/>
    <w:rsid w:val="009318D8"/>
    <w:rsid w:val="009319D3"/>
    <w:rsid w:val="00932A57"/>
    <w:rsid w:val="0093374F"/>
    <w:rsid w:val="00933AB8"/>
    <w:rsid w:val="00933D2D"/>
    <w:rsid w:val="0093490C"/>
    <w:rsid w:val="009353A6"/>
    <w:rsid w:val="00935571"/>
    <w:rsid w:val="00936857"/>
    <w:rsid w:val="00936956"/>
    <w:rsid w:val="00936EA7"/>
    <w:rsid w:val="00937756"/>
    <w:rsid w:val="00937D3D"/>
    <w:rsid w:val="009410A6"/>
    <w:rsid w:val="0094167A"/>
    <w:rsid w:val="009424B5"/>
    <w:rsid w:val="009425E0"/>
    <w:rsid w:val="009426FB"/>
    <w:rsid w:val="00943846"/>
    <w:rsid w:val="00944709"/>
    <w:rsid w:val="009448E8"/>
    <w:rsid w:val="0094592B"/>
    <w:rsid w:val="0094664B"/>
    <w:rsid w:val="00946837"/>
    <w:rsid w:val="009470AC"/>
    <w:rsid w:val="00947AAC"/>
    <w:rsid w:val="00947B79"/>
    <w:rsid w:val="00947E2D"/>
    <w:rsid w:val="009501B6"/>
    <w:rsid w:val="009503F2"/>
    <w:rsid w:val="009521F2"/>
    <w:rsid w:val="00952E44"/>
    <w:rsid w:val="00952F11"/>
    <w:rsid w:val="009530C5"/>
    <w:rsid w:val="00954E83"/>
    <w:rsid w:val="00954F35"/>
    <w:rsid w:val="00955004"/>
    <w:rsid w:val="00955B94"/>
    <w:rsid w:val="00955C53"/>
    <w:rsid w:val="00957705"/>
    <w:rsid w:val="00957784"/>
    <w:rsid w:val="00957EDD"/>
    <w:rsid w:val="009606B8"/>
    <w:rsid w:val="00960808"/>
    <w:rsid w:val="009608A4"/>
    <w:rsid w:val="00960F41"/>
    <w:rsid w:val="009610D2"/>
    <w:rsid w:val="00961A02"/>
    <w:rsid w:val="00961CD2"/>
    <w:rsid w:val="00963988"/>
    <w:rsid w:val="00963AE7"/>
    <w:rsid w:val="00963E86"/>
    <w:rsid w:val="00964407"/>
    <w:rsid w:val="00964429"/>
    <w:rsid w:val="00964758"/>
    <w:rsid w:val="00965421"/>
    <w:rsid w:val="00965A8D"/>
    <w:rsid w:val="00965EB5"/>
    <w:rsid w:val="009667E6"/>
    <w:rsid w:val="0096684C"/>
    <w:rsid w:val="00966D0E"/>
    <w:rsid w:val="00967FCF"/>
    <w:rsid w:val="009701E5"/>
    <w:rsid w:val="0097026E"/>
    <w:rsid w:val="009702F3"/>
    <w:rsid w:val="009702FC"/>
    <w:rsid w:val="009708EF"/>
    <w:rsid w:val="009716B0"/>
    <w:rsid w:val="00971B28"/>
    <w:rsid w:val="00972A53"/>
    <w:rsid w:val="00972F48"/>
    <w:rsid w:val="0097340E"/>
    <w:rsid w:val="00973621"/>
    <w:rsid w:val="009738E2"/>
    <w:rsid w:val="00974678"/>
    <w:rsid w:val="00974BDE"/>
    <w:rsid w:val="00974C1F"/>
    <w:rsid w:val="00974DD3"/>
    <w:rsid w:val="0097502E"/>
    <w:rsid w:val="0097533B"/>
    <w:rsid w:val="00975DE8"/>
    <w:rsid w:val="009765D1"/>
    <w:rsid w:val="00976D96"/>
    <w:rsid w:val="0097755A"/>
    <w:rsid w:val="00977932"/>
    <w:rsid w:val="00977BFF"/>
    <w:rsid w:val="00977CCA"/>
    <w:rsid w:val="00980B19"/>
    <w:rsid w:val="009816FE"/>
    <w:rsid w:val="00981D25"/>
    <w:rsid w:val="00982133"/>
    <w:rsid w:val="009834AB"/>
    <w:rsid w:val="0098390F"/>
    <w:rsid w:val="00983F3D"/>
    <w:rsid w:val="00984020"/>
    <w:rsid w:val="00984237"/>
    <w:rsid w:val="009845ED"/>
    <w:rsid w:val="00984893"/>
    <w:rsid w:val="00984D51"/>
    <w:rsid w:val="00985826"/>
    <w:rsid w:val="00986360"/>
    <w:rsid w:val="009866D8"/>
    <w:rsid w:val="00986887"/>
    <w:rsid w:val="009871C5"/>
    <w:rsid w:val="00990135"/>
    <w:rsid w:val="00990C52"/>
    <w:rsid w:val="009914D8"/>
    <w:rsid w:val="00991D7D"/>
    <w:rsid w:val="00992466"/>
    <w:rsid w:val="00992C7B"/>
    <w:rsid w:val="009930E7"/>
    <w:rsid w:val="009931F2"/>
    <w:rsid w:val="00993384"/>
    <w:rsid w:val="009944F3"/>
    <w:rsid w:val="00994615"/>
    <w:rsid w:val="00994E6C"/>
    <w:rsid w:val="00996668"/>
    <w:rsid w:val="00996728"/>
    <w:rsid w:val="00996964"/>
    <w:rsid w:val="009969BE"/>
    <w:rsid w:val="00996F49"/>
    <w:rsid w:val="00997D0F"/>
    <w:rsid w:val="009A178C"/>
    <w:rsid w:val="009A1935"/>
    <w:rsid w:val="009A202D"/>
    <w:rsid w:val="009A21B9"/>
    <w:rsid w:val="009A5DD2"/>
    <w:rsid w:val="009A617F"/>
    <w:rsid w:val="009A75AA"/>
    <w:rsid w:val="009A779A"/>
    <w:rsid w:val="009B09EB"/>
    <w:rsid w:val="009B0C2B"/>
    <w:rsid w:val="009B18E7"/>
    <w:rsid w:val="009B217D"/>
    <w:rsid w:val="009B21E2"/>
    <w:rsid w:val="009B222B"/>
    <w:rsid w:val="009B2A8A"/>
    <w:rsid w:val="009B2BF2"/>
    <w:rsid w:val="009B2EA2"/>
    <w:rsid w:val="009B363B"/>
    <w:rsid w:val="009B44F8"/>
    <w:rsid w:val="009B4988"/>
    <w:rsid w:val="009B4F74"/>
    <w:rsid w:val="009B555D"/>
    <w:rsid w:val="009B67F4"/>
    <w:rsid w:val="009B6E68"/>
    <w:rsid w:val="009B7586"/>
    <w:rsid w:val="009B7D0A"/>
    <w:rsid w:val="009C026A"/>
    <w:rsid w:val="009C0626"/>
    <w:rsid w:val="009C1924"/>
    <w:rsid w:val="009C2531"/>
    <w:rsid w:val="009C2825"/>
    <w:rsid w:val="009C28A7"/>
    <w:rsid w:val="009C2C7F"/>
    <w:rsid w:val="009C2DEC"/>
    <w:rsid w:val="009C3761"/>
    <w:rsid w:val="009C3B5E"/>
    <w:rsid w:val="009C3DA4"/>
    <w:rsid w:val="009C3E79"/>
    <w:rsid w:val="009C42D7"/>
    <w:rsid w:val="009C5353"/>
    <w:rsid w:val="009C53DA"/>
    <w:rsid w:val="009C59E6"/>
    <w:rsid w:val="009C5DC4"/>
    <w:rsid w:val="009C74D2"/>
    <w:rsid w:val="009C75AE"/>
    <w:rsid w:val="009C7F95"/>
    <w:rsid w:val="009D105F"/>
    <w:rsid w:val="009D14B9"/>
    <w:rsid w:val="009D2BFA"/>
    <w:rsid w:val="009D2D63"/>
    <w:rsid w:val="009D31A3"/>
    <w:rsid w:val="009D31EF"/>
    <w:rsid w:val="009D3384"/>
    <w:rsid w:val="009D3AFB"/>
    <w:rsid w:val="009D4184"/>
    <w:rsid w:val="009D4D41"/>
    <w:rsid w:val="009D4F7B"/>
    <w:rsid w:val="009D587E"/>
    <w:rsid w:val="009D594F"/>
    <w:rsid w:val="009D5998"/>
    <w:rsid w:val="009D5C60"/>
    <w:rsid w:val="009D5EEB"/>
    <w:rsid w:val="009D6396"/>
    <w:rsid w:val="009D63A6"/>
    <w:rsid w:val="009D68A7"/>
    <w:rsid w:val="009D718F"/>
    <w:rsid w:val="009D7773"/>
    <w:rsid w:val="009E0BB1"/>
    <w:rsid w:val="009E1532"/>
    <w:rsid w:val="009E1FE0"/>
    <w:rsid w:val="009E2010"/>
    <w:rsid w:val="009E2676"/>
    <w:rsid w:val="009E3E2A"/>
    <w:rsid w:val="009E51F0"/>
    <w:rsid w:val="009E55CB"/>
    <w:rsid w:val="009E58B5"/>
    <w:rsid w:val="009E592A"/>
    <w:rsid w:val="009E5A93"/>
    <w:rsid w:val="009E62BD"/>
    <w:rsid w:val="009E6EBA"/>
    <w:rsid w:val="009E7612"/>
    <w:rsid w:val="009E7A08"/>
    <w:rsid w:val="009E7B02"/>
    <w:rsid w:val="009E7C4A"/>
    <w:rsid w:val="009E7C5D"/>
    <w:rsid w:val="009E7F21"/>
    <w:rsid w:val="009E7FE6"/>
    <w:rsid w:val="009F15AD"/>
    <w:rsid w:val="009F1823"/>
    <w:rsid w:val="009F1FAA"/>
    <w:rsid w:val="009F2585"/>
    <w:rsid w:val="009F27FB"/>
    <w:rsid w:val="009F352D"/>
    <w:rsid w:val="009F5218"/>
    <w:rsid w:val="009F5957"/>
    <w:rsid w:val="009F64C0"/>
    <w:rsid w:val="009F6579"/>
    <w:rsid w:val="009F692B"/>
    <w:rsid w:val="009F78AA"/>
    <w:rsid w:val="00A00137"/>
    <w:rsid w:val="00A01382"/>
    <w:rsid w:val="00A0261D"/>
    <w:rsid w:val="00A029B2"/>
    <w:rsid w:val="00A032CA"/>
    <w:rsid w:val="00A0370E"/>
    <w:rsid w:val="00A038A6"/>
    <w:rsid w:val="00A0418C"/>
    <w:rsid w:val="00A04817"/>
    <w:rsid w:val="00A05AC5"/>
    <w:rsid w:val="00A05E77"/>
    <w:rsid w:val="00A05EC1"/>
    <w:rsid w:val="00A06130"/>
    <w:rsid w:val="00A06197"/>
    <w:rsid w:val="00A061C9"/>
    <w:rsid w:val="00A063FF"/>
    <w:rsid w:val="00A06EEC"/>
    <w:rsid w:val="00A101F8"/>
    <w:rsid w:val="00A111A8"/>
    <w:rsid w:val="00A11B94"/>
    <w:rsid w:val="00A11CB3"/>
    <w:rsid w:val="00A14911"/>
    <w:rsid w:val="00A15D8D"/>
    <w:rsid w:val="00A16250"/>
    <w:rsid w:val="00A16630"/>
    <w:rsid w:val="00A1664F"/>
    <w:rsid w:val="00A16D2C"/>
    <w:rsid w:val="00A203F8"/>
    <w:rsid w:val="00A2059E"/>
    <w:rsid w:val="00A205D9"/>
    <w:rsid w:val="00A20BF4"/>
    <w:rsid w:val="00A21A13"/>
    <w:rsid w:val="00A21D1F"/>
    <w:rsid w:val="00A227C7"/>
    <w:rsid w:val="00A22A46"/>
    <w:rsid w:val="00A23BB1"/>
    <w:rsid w:val="00A23D8A"/>
    <w:rsid w:val="00A24272"/>
    <w:rsid w:val="00A24577"/>
    <w:rsid w:val="00A24647"/>
    <w:rsid w:val="00A246D5"/>
    <w:rsid w:val="00A24B3F"/>
    <w:rsid w:val="00A250A2"/>
    <w:rsid w:val="00A25247"/>
    <w:rsid w:val="00A25304"/>
    <w:rsid w:val="00A25AE0"/>
    <w:rsid w:val="00A25DAC"/>
    <w:rsid w:val="00A261B3"/>
    <w:rsid w:val="00A265A2"/>
    <w:rsid w:val="00A26C04"/>
    <w:rsid w:val="00A27905"/>
    <w:rsid w:val="00A27B87"/>
    <w:rsid w:val="00A30809"/>
    <w:rsid w:val="00A30A57"/>
    <w:rsid w:val="00A31096"/>
    <w:rsid w:val="00A31241"/>
    <w:rsid w:val="00A31E18"/>
    <w:rsid w:val="00A31EB6"/>
    <w:rsid w:val="00A333C1"/>
    <w:rsid w:val="00A33AC1"/>
    <w:rsid w:val="00A33C49"/>
    <w:rsid w:val="00A33D8C"/>
    <w:rsid w:val="00A347A5"/>
    <w:rsid w:val="00A34A45"/>
    <w:rsid w:val="00A35335"/>
    <w:rsid w:val="00A35C9F"/>
    <w:rsid w:val="00A36371"/>
    <w:rsid w:val="00A36457"/>
    <w:rsid w:val="00A3681F"/>
    <w:rsid w:val="00A36C72"/>
    <w:rsid w:val="00A371F8"/>
    <w:rsid w:val="00A3722B"/>
    <w:rsid w:val="00A37CF7"/>
    <w:rsid w:val="00A37E15"/>
    <w:rsid w:val="00A40666"/>
    <w:rsid w:val="00A41652"/>
    <w:rsid w:val="00A418E5"/>
    <w:rsid w:val="00A41C8A"/>
    <w:rsid w:val="00A4209F"/>
    <w:rsid w:val="00A433BA"/>
    <w:rsid w:val="00A45097"/>
    <w:rsid w:val="00A45EB7"/>
    <w:rsid w:val="00A461E7"/>
    <w:rsid w:val="00A47097"/>
    <w:rsid w:val="00A47D01"/>
    <w:rsid w:val="00A47EEE"/>
    <w:rsid w:val="00A505F8"/>
    <w:rsid w:val="00A506EC"/>
    <w:rsid w:val="00A50764"/>
    <w:rsid w:val="00A513B7"/>
    <w:rsid w:val="00A515CB"/>
    <w:rsid w:val="00A51677"/>
    <w:rsid w:val="00A51841"/>
    <w:rsid w:val="00A5198E"/>
    <w:rsid w:val="00A52670"/>
    <w:rsid w:val="00A52AFC"/>
    <w:rsid w:val="00A52EBF"/>
    <w:rsid w:val="00A53235"/>
    <w:rsid w:val="00A5356E"/>
    <w:rsid w:val="00A54202"/>
    <w:rsid w:val="00A5421C"/>
    <w:rsid w:val="00A5451C"/>
    <w:rsid w:val="00A546D4"/>
    <w:rsid w:val="00A5486D"/>
    <w:rsid w:val="00A54DD3"/>
    <w:rsid w:val="00A54E76"/>
    <w:rsid w:val="00A55A5D"/>
    <w:rsid w:val="00A55FF0"/>
    <w:rsid w:val="00A56313"/>
    <w:rsid w:val="00A6072A"/>
    <w:rsid w:val="00A61321"/>
    <w:rsid w:val="00A616DC"/>
    <w:rsid w:val="00A62AFF"/>
    <w:rsid w:val="00A63F71"/>
    <w:rsid w:val="00A642E4"/>
    <w:rsid w:val="00A6501C"/>
    <w:rsid w:val="00A65400"/>
    <w:rsid w:val="00A654A5"/>
    <w:rsid w:val="00A65C42"/>
    <w:rsid w:val="00A66333"/>
    <w:rsid w:val="00A6668F"/>
    <w:rsid w:val="00A67201"/>
    <w:rsid w:val="00A67629"/>
    <w:rsid w:val="00A7011B"/>
    <w:rsid w:val="00A70DB3"/>
    <w:rsid w:val="00A70FB9"/>
    <w:rsid w:val="00A725EE"/>
    <w:rsid w:val="00A732AD"/>
    <w:rsid w:val="00A7361C"/>
    <w:rsid w:val="00A73777"/>
    <w:rsid w:val="00A73DEF"/>
    <w:rsid w:val="00A74823"/>
    <w:rsid w:val="00A754E2"/>
    <w:rsid w:val="00A7550D"/>
    <w:rsid w:val="00A757FA"/>
    <w:rsid w:val="00A75D68"/>
    <w:rsid w:val="00A76AA0"/>
    <w:rsid w:val="00A770A6"/>
    <w:rsid w:val="00A770E8"/>
    <w:rsid w:val="00A77725"/>
    <w:rsid w:val="00A77ED2"/>
    <w:rsid w:val="00A80BCC"/>
    <w:rsid w:val="00A81834"/>
    <w:rsid w:val="00A82010"/>
    <w:rsid w:val="00A829AC"/>
    <w:rsid w:val="00A837C9"/>
    <w:rsid w:val="00A837D9"/>
    <w:rsid w:val="00A83C56"/>
    <w:rsid w:val="00A84A29"/>
    <w:rsid w:val="00A84A9F"/>
    <w:rsid w:val="00A84F9D"/>
    <w:rsid w:val="00A85746"/>
    <w:rsid w:val="00A85A95"/>
    <w:rsid w:val="00A85D95"/>
    <w:rsid w:val="00A868B8"/>
    <w:rsid w:val="00A868D4"/>
    <w:rsid w:val="00A87610"/>
    <w:rsid w:val="00A90585"/>
    <w:rsid w:val="00A9187C"/>
    <w:rsid w:val="00A9198E"/>
    <w:rsid w:val="00A91B75"/>
    <w:rsid w:val="00A91C06"/>
    <w:rsid w:val="00A91D02"/>
    <w:rsid w:val="00A92A05"/>
    <w:rsid w:val="00A94027"/>
    <w:rsid w:val="00A94B31"/>
    <w:rsid w:val="00A94E46"/>
    <w:rsid w:val="00A9563F"/>
    <w:rsid w:val="00A956F6"/>
    <w:rsid w:val="00A9649F"/>
    <w:rsid w:val="00A96B61"/>
    <w:rsid w:val="00A97070"/>
    <w:rsid w:val="00A9731F"/>
    <w:rsid w:val="00A9737E"/>
    <w:rsid w:val="00A979AB"/>
    <w:rsid w:val="00A97C92"/>
    <w:rsid w:val="00AA0124"/>
    <w:rsid w:val="00AA0290"/>
    <w:rsid w:val="00AA0BA7"/>
    <w:rsid w:val="00AA0D30"/>
    <w:rsid w:val="00AA0E11"/>
    <w:rsid w:val="00AA0FB4"/>
    <w:rsid w:val="00AA16AA"/>
    <w:rsid w:val="00AA19B5"/>
    <w:rsid w:val="00AA2EBC"/>
    <w:rsid w:val="00AA3498"/>
    <w:rsid w:val="00AA3C7B"/>
    <w:rsid w:val="00AA4007"/>
    <w:rsid w:val="00AA4665"/>
    <w:rsid w:val="00AA5594"/>
    <w:rsid w:val="00AA5F75"/>
    <w:rsid w:val="00AA6057"/>
    <w:rsid w:val="00AA6E77"/>
    <w:rsid w:val="00AA6FD1"/>
    <w:rsid w:val="00AA7046"/>
    <w:rsid w:val="00AA73A0"/>
    <w:rsid w:val="00AB025E"/>
    <w:rsid w:val="00AB0672"/>
    <w:rsid w:val="00AB08D2"/>
    <w:rsid w:val="00AB1245"/>
    <w:rsid w:val="00AB1D74"/>
    <w:rsid w:val="00AB2CF0"/>
    <w:rsid w:val="00AB335A"/>
    <w:rsid w:val="00AB38C3"/>
    <w:rsid w:val="00AB3B06"/>
    <w:rsid w:val="00AB4003"/>
    <w:rsid w:val="00AB4F62"/>
    <w:rsid w:val="00AB5BDC"/>
    <w:rsid w:val="00AB5E3E"/>
    <w:rsid w:val="00AB60DB"/>
    <w:rsid w:val="00AB701C"/>
    <w:rsid w:val="00AB728C"/>
    <w:rsid w:val="00AB77A4"/>
    <w:rsid w:val="00AC004D"/>
    <w:rsid w:val="00AC0A2E"/>
    <w:rsid w:val="00AC16CB"/>
    <w:rsid w:val="00AC2AA4"/>
    <w:rsid w:val="00AC3B04"/>
    <w:rsid w:val="00AC3D1F"/>
    <w:rsid w:val="00AC4AD9"/>
    <w:rsid w:val="00AC4E80"/>
    <w:rsid w:val="00AC51E0"/>
    <w:rsid w:val="00AC6D7E"/>
    <w:rsid w:val="00AC7382"/>
    <w:rsid w:val="00AC75A7"/>
    <w:rsid w:val="00AC75F7"/>
    <w:rsid w:val="00AC7D84"/>
    <w:rsid w:val="00AD0890"/>
    <w:rsid w:val="00AD1DB7"/>
    <w:rsid w:val="00AD200B"/>
    <w:rsid w:val="00AD2918"/>
    <w:rsid w:val="00AD2D1E"/>
    <w:rsid w:val="00AD4457"/>
    <w:rsid w:val="00AD4A95"/>
    <w:rsid w:val="00AD5146"/>
    <w:rsid w:val="00AD5485"/>
    <w:rsid w:val="00AD5985"/>
    <w:rsid w:val="00AD5BF8"/>
    <w:rsid w:val="00AD73ED"/>
    <w:rsid w:val="00AE0965"/>
    <w:rsid w:val="00AE0E49"/>
    <w:rsid w:val="00AE1C31"/>
    <w:rsid w:val="00AE1DFE"/>
    <w:rsid w:val="00AE22F6"/>
    <w:rsid w:val="00AE27E6"/>
    <w:rsid w:val="00AE2816"/>
    <w:rsid w:val="00AE3E04"/>
    <w:rsid w:val="00AE42A7"/>
    <w:rsid w:val="00AE488D"/>
    <w:rsid w:val="00AE4C68"/>
    <w:rsid w:val="00AE5852"/>
    <w:rsid w:val="00AE5B54"/>
    <w:rsid w:val="00AE5F21"/>
    <w:rsid w:val="00AE6DAF"/>
    <w:rsid w:val="00AE72B0"/>
    <w:rsid w:val="00AE7C34"/>
    <w:rsid w:val="00AE7EEB"/>
    <w:rsid w:val="00AE7F61"/>
    <w:rsid w:val="00AF0548"/>
    <w:rsid w:val="00AF199B"/>
    <w:rsid w:val="00AF219F"/>
    <w:rsid w:val="00AF2700"/>
    <w:rsid w:val="00AF2719"/>
    <w:rsid w:val="00AF2DFD"/>
    <w:rsid w:val="00AF33C0"/>
    <w:rsid w:val="00AF3A26"/>
    <w:rsid w:val="00AF4D81"/>
    <w:rsid w:val="00AF4FF8"/>
    <w:rsid w:val="00AF527C"/>
    <w:rsid w:val="00AF57F6"/>
    <w:rsid w:val="00AF5CAA"/>
    <w:rsid w:val="00AF615E"/>
    <w:rsid w:val="00AF6355"/>
    <w:rsid w:val="00AF6F29"/>
    <w:rsid w:val="00AF7655"/>
    <w:rsid w:val="00AF796D"/>
    <w:rsid w:val="00B00383"/>
    <w:rsid w:val="00B00C45"/>
    <w:rsid w:val="00B010E0"/>
    <w:rsid w:val="00B0117D"/>
    <w:rsid w:val="00B012A7"/>
    <w:rsid w:val="00B01B17"/>
    <w:rsid w:val="00B0204A"/>
    <w:rsid w:val="00B02878"/>
    <w:rsid w:val="00B02971"/>
    <w:rsid w:val="00B02A30"/>
    <w:rsid w:val="00B035AA"/>
    <w:rsid w:val="00B03A06"/>
    <w:rsid w:val="00B03E2C"/>
    <w:rsid w:val="00B03E91"/>
    <w:rsid w:val="00B0445A"/>
    <w:rsid w:val="00B0533F"/>
    <w:rsid w:val="00B053BA"/>
    <w:rsid w:val="00B05B02"/>
    <w:rsid w:val="00B06621"/>
    <w:rsid w:val="00B06ADB"/>
    <w:rsid w:val="00B06D69"/>
    <w:rsid w:val="00B07394"/>
    <w:rsid w:val="00B07963"/>
    <w:rsid w:val="00B07A5E"/>
    <w:rsid w:val="00B1054C"/>
    <w:rsid w:val="00B105A4"/>
    <w:rsid w:val="00B10DE7"/>
    <w:rsid w:val="00B12356"/>
    <w:rsid w:val="00B1274E"/>
    <w:rsid w:val="00B13A26"/>
    <w:rsid w:val="00B13DF2"/>
    <w:rsid w:val="00B148DE"/>
    <w:rsid w:val="00B1578E"/>
    <w:rsid w:val="00B162DE"/>
    <w:rsid w:val="00B1649D"/>
    <w:rsid w:val="00B164F6"/>
    <w:rsid w:val="00B166CA"/>
    <w:rsid w:val="00B16B48"/>
    <w:rsid w:val="00B16C6F"/>
    <w:rsid w:val="00B17585"/>
    <w:rsid w:val="00B20A1A"/>
    <w:rsid w:val="00B20C0D"/>
    <w:rsid w:val="00B2102F"/>
    <w:rsid w:val="00B21A7B"/>
    <w:rsid w:val="00B226D2"/>
    <w:rsid w:val="00B22C3E"/>
    <w:rsid w:val="00B23BDA"/>
    <w:rsid w:val="00B24214"/>
    <w:rsid w:val="00B247D0"/>
    <w:rsid w:val="00B2591B"/>
    <w:rsid w:val="00B261FC"/>
    <w:rsid w:val="00B262B5"/>
    <w:rsid w:val="00B26676"/>
    <w:rsid w:val="00B26A64"/>
    <w:rsid w:val="00B26BEF"/>
    <w:rsid w:val="00B27B89"/>
    <w:rsid w:val="00B27DD2"/>
    <w:rsid w:val="00B30746"/>
    <w:rsid w:val="00B307A1"/>
    <w:rsid w:val="00B309BA"/>
    <w:rsid w:val="00B30F57"/>
    <w:rsid w:val="00B312D1"/>
    <w:rsid w:val="00B315DB"/>
    <w:rsid w:val="00B328DA"/>
    <w:rsid w:val="00B329BF"/>
    <w:rsid w:val="00B34483"/>
    <w:rsid w:val="00B34816"/>
    <w:rsid w:val="00B348A0"/>
    <w:rsid w:val="00B34B2B"/>
    <w:rsid w:val="00B3540E"/>
    <w:rsid w:val="00B35802"/>
    <w:rsid w:val="00B358F7"/>
    <w:rsid w:val="00B35EBE"/>
    <w:rsid w:val="00B3646E"/>
    <w:rsid w:val="00B4004A"/>
    <w:rsid w:val="00B40325"/>
    <w:rsid w:val="00B40777"/>
    <w:rsid w:val="00B40EDC"/>
    <w:rsid w:val="00B4107A"/>
    <w:rsid w:val="00B410C4"/>
    <w:rsid w:val="00B41977"/>
    <w:rsid w:val="00B41AF8"/>
    <w:rsid w:val="00B41D2F"/>
    <w:rsid w:val="00B42A4F"/>
    <w:rsid w:val="00B42B30"/>
    <w:rsid w:val="00B42CA3"/>
    <w:rsid w:val="00B432BF"/>
    <w:rsid w:val="00B43A1A"/>
    <w:rsid w:val="00B43B1C"/>
    <w:rsid w:val="00B44803"/>
    <w:rsid w:val="00B450CE"/>
    <w:rsid w:val="00B45AAE"/>
    <w:rsid w:val="00B4685D"/>
    <w:rsid w:val="00B46C9A"/>
    <w:rsid w:val="00B46DD6"/>
    <w:rsid w:val="00B51237"/>
    <w:rsid w:val="00B51857"/>
    <w:rsid w:val="00B518C7"/>
    <w:rsid w:val="00B51B85"/>
    <w:rsid w:val="00B520AA"/>
    <w:rsid w:val="00B5232F"/>
    <w:rsid w:val="00B53B4B"/>
    <w:rsid w:val="00B54B1A"/>
    <w:rsid w:val="00B54E8E"/>
    <w:rsid w:val="00B5561E"/>
    <w:rsid w:val="00B55BA8"/>
    <w:rsid w:val="00B55EFA"/>
    <w:rsid w:val="00B56F44"/>
    <w:rsid w:val="00B5753F"/>
    <w:rsid w:val="00B577FD"/>
    <w:rsid w:val="00B57E80"/>
    <w:rsid w:val="00B60BDA"/>
    <w:rsid w:val="00B60F7B"/>
    <w:rsid w:val="00B611DD"/>
    <w:rsid w:val="00B638F7"/>
    <w:rsid w:val="00B64751"/>
    <w:rsid w:val="00B64CF7"/>
    <w:rsid w:val="00B667DD"/>
    <w:rsid w:val="00B6767C"/>
    <w:rsid w:val="00B676C1"/>
    <w:rsid w:val="00B7078C"/>
    <w:rsid w:val="00B707D8"/>
    <w:rsid w:val="00B70809"/>
    <w:rsid w:val="00B7081B"/>
    <w:rsid w:val="00B70BAA"/>
    <w:rsid w:val="00B7184D"/>
    <w:rsid w:val="00B71ADF"/>
    <w:rsid w:val="00B71CAE"/>
    <w:rsid w:val="00B71E5B"/>
    <w:rsid w:val="00B72442"/>
    <w:rsid w:val="00B724B1"/>
    <w:rsid w:val="00B72E34"/>
    <w:rsid w:val="00B73193"/>
    <w:rsid w:val="00B7366A"/>
    <w:rsid w:val="00B73B79"/>
    <w:rsid w:val="00B742DC"/>
    <w:rsid w:val="00B75376"/>
    <w:rsid w:val="00B75884"/>
    <w:rsid w:val="00B75DFD"/>
    <w:rsid w:val="00B75FEE"/>
    <w:rsid w:val="00B76231"/>
    <w:rsid w:val="00B7629E"/>
    <w:rsid w:val="00B764D8"/>
    <w:rsid w:val="00B76829"/>
    <w:rsid w:val="00B76934"/>
    <w:rsid w:val="00B7697B"/>
    <w:rsid w:val="00B76F93"/>
    <w:rsid w:val="00B771CB"/>
    <w:rsid w:val="00B77516"/>
    <w:rsid w:val="00B80355"/>
    <w:rsid w:val="00B8044C"/>
    <w:rsid w:val="00B807A7"/>
    <w:rsid w:val="00B8080A"/>
    <w:rsid w:val="00B81978"/>
    <w:rsid w:val="00B81A8A"/>
    <w:rsid w:val="00B81E63"/>
    <w:rsid w:val="00B82581"/>
    <w:rsid w:val="00B829B7"/>
    <w:rsid w:val="00B849A0"/>
    <w:rsid w:val="00B84E69"/>
    <w:rsid w:val="00B87440"/>
    <w:rsid w:val="00B87BEA"/>
    <w:rsid w:val="00B87C77"/>
    <w:rsid w:val="00B87E6F"/>
    <w:rsid w:val="00B905A8"/>
    <w:rsid w:val="00B90DAF"/>
    <w:rsid w:val="00B94171"/>
    <w:rsid w:val="00B948A4"/>
    <w:rsid w:val="00B950CB"/>
    <w:rsid w:val="00B95C2E"/>
    <w:rsid w:val="00B96744"/>
    <w:rsid w:val="00B971A3"/>
    <w:rsid w:val="00B97867"/>
    <w:rsid w:val="00BA01A0"/>
    <w:rsid w:val="00BA0809"/>
    <w:rsid w:val="00BA0B2A"/>
    <w:rsid w:val="00BA15A4"/>
    <w:rsid w:val="00BA1708"/>
    <w:rsid w:val="00BA1A0A"/>
    <w:rsid w:val="00BA27EC"/>
    <w:rsid w:val="00BA2B1E"/>
    <w:rsid w:val="00BA2D02"/>
    <w:rsid w:val="00BA3259"/>
    <w:rsid w:val="00BA3641"/>
    <w:rsid w:val="00BA365D"/>
    <w:rsid w:val="00BA36BB"/>
    <w:rsid w:val="00BA3A67"/>
    <w:rsid w:val="00BA492B"/>
    <w:rsid w:val="00BA492D"/>
    <w:rsid w:val="00BA4BD3"/>
    <w:rsid w:val="00BA4D0E"/>
    <w:rsid w:val="00BA568B"/>
    <w:rsid w:val="00BA5EE9"/>
    <w:rsid w:val="00BA5F05"/>
    <w:rsid w:val="00BA6C43"/>
    <w:rsid w:val="00BA6CAA"/>
    <w:rsid w:val="00BA7647"/>
    <w:rsid w:val="00BA7CAE"/>
    <w:rsid w:val="00BA7D75"/>
    <w:rsid w:val="00BB05E3"/>
    <w:rsid w:val="00BB1545"/>
    <w:rsid w:val="00BB268A"/>
    <w:rsid w:val="00BB2B37"/>
    <w:rsid w:val="00BB36F1"/>
    <w:rsid w:val="00BB38D4"/>
    <w:rsid w:val="00BB4101"/>
    <w:rsid w:val="00BB4103"/>
    <w:rsid w:val="00BB4107"/>
    <w:rsid w:val="00BB51E9"/>
    <w:rsid w:val="00BB6327"/>
    <w:rsid w:val="00BB684A"/>
    <w:rsid w:val="00BB6996"/>
    <w:rsid w:val="00BB6BD1"/>
    <w:rsid w:val="00BB6CDC"/>
    <w:rsid w:val="00BB71E2"/>
    <w:rsid w:val="00BC1221"/>
    <w:rsid w:val="00BC154B"/>
    <w:rsid w:val="00BC18D0"/>
    <w:rsid w:val="00BC1E3A"/>
    <w:rsid w:val="00BC1F47"/>
    <w:rsid w:val="00BC1FDA"/>
    <w:rsid w:val="00BC31D1"/>
    <w:rsid w:val="00BC3603"/>
    <w:rsid w:val="00BC3E86"/>
    <w:rsid w:val="00BC4144"/>
    <w:rsid w:val="00BC46B1"/>
    <w:rsid w:val="00BC4712"/>
    <w:rsid w:val="00BC4CEA"/>
    <w:rsid w:val="00BC4E3A"/>
    <w:rsid w:val="00BC527B"/>
    <w:rsid w:val="00BC6F7C"/>
    <w:rsid w:val="00BC732E"/>
    <w:rsid w:val="00BC76B1"/>
    <w:rsid w:val="00BD026F"/>
    <w:rsid w:val="00BD03D1"/>
    <w:rsid w:val="00BD0CB9"/>
    <w:rsid w:val="00BD15A1"/>
    <w:rsid w:val="00BD1A15"/>
    <w:rsid w:val="00BD1E86"/>
    <w:rsid w:val="00BD2B2C"/>
    <w:rsid w:val="00BD3DC7"/>
    <w:rsid w:val="00BD3E31"/>
    <w:rsid w:val="00BD48BC"/>
    <w:rsid w:val="00BD50CB"/>
    <w:rsid w:val="00BD53C0"/>
    <w:rsid w:val="00BD5B42"/>
    <w:rsid w:val="00BD5CA8"/>
    <w:rsid w:val="00BD5ECE"/>
    <w:rsid w:val="00BD6310"/>
    <w:rsid w:val="00BD70FB"/>
    <w:rsid w:val="00BD7E80"/>
    <w:rsid w:val="00BE003F"/>
    <w:rsid w:val="00BE01BD"/>
    <w:rsid w:val="00BE0A26"/>
    <w:rsid w:val="00BE0F20"/>
    <w:rsid w:val="00BE26FA"/>
    <w:rsid w:val="00BE30C9"/>
    <w:rsid w:val="00BE3624"/>
    <w:rsid w:val="00BE3C67"/>
    <w:rsid w:val="00BE4555"/>
    <w:rsid w:val="00BE5B89"/>
    <w:rsid w:val="00BE5CD0"/>
    <w:rsid w:val="00BE6255"/>
    <w:rsid w:val="00BE62A0"/>
    <w:rsid w:val="00BE692F"/>
    <w:rsid w:val="00BE75F5"/>
    <w:rsid w:val="00BE7EC8"/>
    <w:rsid w:val="00BF01ED"/>
    <w:rsid w:val="00BF14E2"/>
    <w:rsid w:val="00BF37B6"/>
    <w:rsid w:val="00BF3A0E"/>
    <w:rsid w:val="00BF46FB"/>
    <w:rsid w:val="00BF4BF5"/>
    <w:rsid w:val="00BF4FB6"/>
    <w:rsid w:val="00BF79BE"/>
    <w:rsid w:val="00BF7A40"/>
    <w:rsid w:val="00BF7D75"/>
    <w:rsid w:val="00C000F5"/>
    <w:rsid w:val="00C007C7"/>
    <w:rsid w:val="00C01427"/>
    <w:rsid w:val="00C01790"/>
    <w:rsid w:val="00C01B29"/>
    <w:rsid w:val="00C02089"/>
    <w:rsid w:val="00C021E2"/>
    <w:rsid w:val="00C02373"/>
    <w:rsid w:val="00C027D7"/>
    <w:rsid w:val="00C02B2E"/>
    <w:rsid w:val="00C02B61"/>
    <w:rsid w:val="00C047BD"/>
    <w:rsid w:val="00C04F9C"/>
    <w:rsid w:val="00C055B6"/>
    <w:rsid w:val="00C057B4"/>
    <w:rsid w:val="00C05D86"/>
    <w:rsid w:val="00C06626"/>
    <w:rsid w:val="00C06A9F"/>
    <w:rsid w:val="00C06B63"/>
    <w:rsid w:val="00C06C6D"/>
    <w:rsid w:val="00C07177"/>
    <w:rsid w:val="00C071F3"/>
    <w:rsid w:val="00C07597"/>
    <w:rsid w:val="00C07949"/>
    <w:rsid w:val="00C10319"/>
    <w:rsid w:val="00C10973"/>
    <w:rsid w:val="00C109E0"/>
    <w:rsid w:val="00C10BF9"/>
    <w:rsid w:val="00C11009"/>
    <w:rsid w:val="00C1234A"/>
    <w:rsid w:val="00C12504"/>
    <w:rsid w:val="00C127B0"/>
    <w:rsid w:val="00C12A74"/>
    <w:rsid w:val="00C12FDE"/>
    <w:rsid w:val="00C145AC"/>
    <w:rsid w:val="00C157D1"/>
    <w:rsid w:val="00C15BD6"/>
    <w:rsid w:val="00C15C7F"/>
    <w:rsid w:val="00C1646F"/>
    <w:rsid w:val="00C1723D"/>
    <w:rsid w:val="00C179F5"/>
    <w:rsid w:val="00C20023"/>
    <w:rsid w:val="00C207F7"/>
    <w:rsid w:val="00C20D33"/>
    <w:rsid w:val="00C213CF"/>
    <w:rsid w:val="00C21685"/>
    <w:rsid w:val="00C21784"/>
    <w:rsid w:val="00C21A93"/>
    <w:rsid w:val="00C21BE8"/>
    <w:rsid w:val="00C22345"/>
    <w:rsid w:val="00C22AD9"/>
    <w:rsid w:val="00C22B96"/>
    <w:rsid w:val="00C239D5"/>
    <w:rsid w:val="00C25038"/>
    <w:rsid w:val="00C2529E"/>
    <w:rsid w:val="00C25F7A"/>
    <w:rsid w:val="00C26482"/>
    <w:rsid w:val="00C2675F"/>
    <w:rsid w:val="00C26E85"/>
    <w:rsid w:val="00C270EC"/>
    <w:rsid w:val="00C27804"/>
    <w:rsid w:val="00C27C6A"/>
    <w:rsid w:val="00C300C6"/>
    <w:rsid w:val="00C30214"/>
    <w:rsid w:val="00C30839"/>
    <w:rsid w:val="00C31E11"/>
    <w:rsid w:val="00C322FC"/>
    <w:rsid w:val="00C327E8"/>
    <w:rsid w:val="00C32C3C"/>
    <w:rsid w:val="00C3392A"/>
    <w:rsid w:val="00C344D3"/>
    <w:rsid w:val="00C34DB4"/>
    <w:rsid w:val="00C353DA"/>
    <w:rsid w:val="00C354BF"/>
    <w:rsid w:val="00C3555D"/>
    <w:rsid w:val="00C357E8"/>
    <w:rsid w:val="00C357FA"/>
    <w:rsid w:val="00C35FF8"/>
    <w:rsid w:val="00C361A8"/>
    <w:rsid w:val="00C3694A"/>
    <w:rsid w:val="00C36A56"/>
    <w:rsid w:val="00C37932"/>
    <w:rsid w:val="00C37F99"/>
    <w:rsid w:val="00C40DF5"/>
    <w:rsid w:val="00C41D7D"/>
    <w:rsid w:val="00C42874"/>
    <w:rsid w:val="00C42A16"/>
    <w:rsid w:val="00C42C16"/>
    <w:rsid w:val="00C42E5F"/>
    <w:rsid w:val="00C43176"/>
    <w:rsid w:val="00C44291"/>
    <w:rsid w:val="00C44AE8"/>
    <w:rsid w:val="00C45345"/>
    <w:rsid w:val="00C4601B"/>
    <w:rsid w:val="00C463DC"/>
    <w:rsid w:val="00C47BCF"/>
    <w:rsid w:val="00C47FE3"/>
    <w:rsid w:val="00C50017"/>
    <w:rsid w:val="00C507FB"/>
    <w:rsid w:val="00C51997"/>
    <w:rsid w:val="00C51B9F"/>
    <w:rsid w:val="00C5234C"/>
    <w:rsid w:val="00C52428"/>
    <w:rsid w:val="00C528DF"/>
    <w:rsid w:val="00C52E26"/>
    <w:rsid w:val="00C535A7"/>
    <w:rsid w:val="00C539CA"/>
    <w:rsid w:val="00C53BBA"/>
    <w:rsid w:val="00C541CF"/>
    <w:rsid w:val="00C54809"/>
    <w:rsid w:val="00C54B8A"/>
    <w:rsid w:val="00C551F8"/>
    <w:rsid w:val="00C557EB"/>
    <w:rsid w:val="00C55DB9"/>
    <w:rsid w:val="00C5628D"/>
    <w:rsid w:val="00C57056"/>
    <w:rsid w:val="00C57BFE"/>
    <w:rsid w:val="00C57DD2"/>
    <w:rsid w:val="00C60E3B"/>
    <w:rsid w:val="00C612FF"/>
    <w:rsid w:val="00C613C1"/>
    <w:rsid w:val="00C629FC"/>
    <w:rsid w:val="00C6357F"/>
    <w:rsid w:val="00C63BC4"/>
    <w:rsid w:val="00C63F8F"/>
    <w:rsid w:val="00C64C81"/>
    <w:rsid w:val="00C6534E"/>
    <w:rsid w:val="00C656AD"/>
    <w:rsid w:val="00C65B88"/>
    <w:rsid w:val="00C65C2C"/>
    <w:rsid w:val="00C65E3F"/>
    <w:rsid w:val="00C6630A"/>
    <w:rsid w:val="00C66A72"/>
    <w:rsid w:val="00C66A79"/>
    <w:rsid w:val="00C66B4B"/>
    <w:rsid w:val="00C670E3"/>
    <w:rsid w:val="00C67529"/>
    <w:rsid w:val="00C7050D"/>
    <w:rsid w:val="00C705FC"/>
    <w:rsid w:val="00C70700"/>
    <w:rsid w:val="00C71569"/>
    <w:rsid w:val="00C7220D"/>
    <w:rsid w:val="00C72C43"/>
    <w:rsid w:val="00C73098"/>
    <w:rsid w:val="00C73C6C"/>
    <w:rsid w:val="00C73D2B"/>
    <w:rsid w:val="00C74BC4"/>
    <w:rsid w:val="00C762A0"/>
    <w:rsid w:val="00C76F4C"/>
    <w:rsid w:val="00C77DF4"/>
    <w:rsid w:val="00C804A6"/>
    <w:rsid w:val="00C810FA"/>
    <w:rsid w:val="00C81147"/>
    <w:rsid w:val="00C81295"/>
    <w:rsid w:val="00C8161A"/>
    <w:rsid w:val="00C81F2A"/>
    <w:rsid w:val="00C82175"/>
    <w:rsid w:val="00C82305"/>
    <w:rsid w:val="00C8280B"/>
    <w:rsid w:val="00C82D86"/>
    <w:rsid w:val="00C83172"/>
    <w:rsid w:val="00C831E1"/>
    <w:rsid w:val="00C8361E"/>
    <w:rsid w:val="00C84BD6"/>
    <w:rsid w:val="00C8595B"/>
    <w:rsid w:val="00C85A08"/>
    <w:rsid w:val="00C85ECA"/>
    <w:rsid w:val="00C8697E"/>
    <w:rsid w:val="00C875C6"/>
    <w:rsid w:val="00C87E77"/>
    <w:rsid w:val="00C90579"/>
    <w:rsid w:val="00C90781"/>
    <w:rsid w:val="00C9143A"/>
    <w:rsid w:val="00C91DA5"/>
    <w:rsid w:val="00C92D99"/>
    <w:rsid w:val="00C935C2"/>
    <w:rsid w:val="00C9372B"/>
    <w:rsid w:val="00C93B3E"/>
    <w:rsid w:val="00C9433B"/>
    <w:rsid w:val="00C958AF"/>
    <w:rsid w:val="00C9690F"/>
    <w:rsid w:val="00C9720B"/>
    <w:rsid w:val="00C97351"/>
    <w:rsid w:val="00C97DD4"/>
    <w:rsid w:val="00CA0818"/>
    <w:rsid w:val="00CA0AD7"/>
    <w:rsid w:val="00CA17B5"/>
    <w:rsid w:val="00CA3DB2"/>
    <w:rsid w:val="00CA490B"/>
    <w:rsid w:val="00CA4A7C"/>
    <w:rsid w:val="00CA4C47"/>
    <w:rsid w:val="00CA4EBB"/>
    <w:rsid w:val="00CA5564"/>
    <w:rsid w:val="00CA56F2"/>
    <w:rsid w:val="00CA5C97"/>
    <w:rsid w:val="00CA5E0D"/>
    <w:rsid w:val="00CA6083"/>
    <w:rsid w:val="00CA6609"/>
    <w:rsid w:val="00CA679F"/>
    <w:rsid w:val="00CA6CC1"/>
    <w:rsid w:val="00CA78C9"/>
    <w:rsid w:val="00CA797C"/>
    <w:rsid w:val="00CA79A4"/>
    <w:rsid w:val="00CB0171"/>
    <w:rsid w:val="00CB199D"/>
    <w:rsid w:val="00CB1E19"/>
    <w:rsid w:val="00CB1E85"/>
    <w:rsid w:val="00CB2135"/>
    <w:rsid w:val="00CB23C7"/>
    <w:rsid w:val="00CB2529"/>
    <w:rsid w:val="00CB359C"/>
    <w:rsid w:val="00CB36E2"/>
    <w:rsid w:val="00CB3CFB"/>
    <w:rsid w:val="00CB468E"/>
    <w:rsid w:val="00CB5919"/>
    <w:rsid w:val="00CB5E5F"/>
    <w:rsid w:val="00CB6305"/>
    <w:rsid w:val="00CB630F"/>
    <w:rsid w:val="00CB6555"/>
    <w:rsid w:val="00CB69C9"/>
    <w:rsid w:val="00CB738D"/>
    <w:rsid w:val="00CB74DD"/>
    <w:rsid w:val="00CB7529"/>
    <w:rsid w:val="00CC01CD"/>
    <w:rsid w:val="00CC05A5"/>
    <w:rsid w:val="00CC0EFB"/>
    <w:rsid w:val="00CC162D"/>
    <w:rsid w:val="00CC17A7"/>
    <w:rsid w:val="00CC1BFC"/>
    <w:rsid w:val="00CC1C5F"/>
    <w:rsid w:val="00CC2386"/>
    <w:rsid w:val="00CC290A"/>
    <w:rsid w:val="00CC2ACC"/>
    <w:rsid w:val="00CC2BBA"/>
    <w:rsid w:val="00CC2E20"/>
    <w:rsid w:val="00CC2E7C"/>
    <w:rsid w:val="00CC3557"/>
    <w:rsid w:val="00CC3C87"/>
    <w:rsid w:val="00CC3C91"/>
    <w:rsid w:val="00CC4306"/>
    <w:rsid w:val="00CC4E1D"/>
    <w:rsid w:val="00CC4E27"/>
    <w:rsid w:val="00CC51D8"/>
    <w:rsid w:val="00CC5358"/>
    <w:rsid w:val="00CC563C"/>
    <w:rsid w:val="00CC5DD3"/>
    <w:rsid w:val="00CC6607"/>
    <w:rsid w:val="00CC6AD3"/>
    <w:rsid w:val="00CC781E"/>
    <w:rsid w:val="00CC78AF"/>
    <w:rsid w:val="00CD1596"/>
    <w:rsid w:val="00CD1733"/>
    <w:rsid w:val="00CD1A6D"/>
    <w:rsid w:val="00CD23BA"/>
    <w:rsid w:val="00CD37FC"/>
    <w:rsid w:val="00CD3922"/>
    <w:rsid w:val="00CD3F84"/>
    <w:rsid w:val="00CD3FAE"/>
    <w:rsid w:val="00CD42C4"/>
    <w:rsid w:val="00CD4325"/>
    <w:rsid w:val="00CD44F0"/>
    <w:rsid w:val="00CD4C48"/>
    <w:rsid w:val="00CD5263"/>
    <w:rsid w:val="00CD546B"/>
    <w:rsid w:val="00CD6457"/>
    <w:rsid w:val="00CD6593"/>
    <w:rsid w:val="00CD67DF"/>
    <w:rsid w:val="00CD7101"/>
    <w:rsid w:val="00CD71E2"/>
    <w:rsid w:val="00CD729B"/>
    <w:rsid w:val="00CD7D40"/>
    <w:rsid w:val="00CD7FD1"/>
    <w:rsid w:val="00CE02B2"/>
    <w:rsid w:val="00CE06CA"/>
    <w:rsid w:val="00CE0D0F"/>
    <w:rsid w:val="00CE0FA0"/>
    <w:rsid w:val="00CE0FEC"/>
    <w:rsid w:val="00CE2182"/>
    <w:rsid w:val="00CE2411"/>
    <w:rsid w:val="00CE31FB"/>
    <w:rsid w:val="00CE3C0A"/>
    <w:rsid w:val="00CE3FF6"/>
    <w:rsid w:val="00CE490F"/>
    <w:rsid w:val="00CE4D9A"/>
    <w:rsid w:val="00CE4E93"/>
    <w:rsid w:val="00CE5380"/>
    <w:rsid w:val="00CE5730"/>
    <w:rsid w:val="00CE583A"/>
    <w:rsid w:val="00CE6655"/>
    <w:rsid w:val="00CE6B8A"/>
    <w:rsid w:val="00CE6F60"/>
    <w:rsid w:val="00CE7349"/>
    <w:rsid w:val="00CE76E9"/>
    <w:rsid w:val="00CE784B"/>
    <w:rsid w:val="00CF04DA"/>
    <w:rsid w:val="00CF188C"/>
    <w:rsid w:val="00CF245F"/>
    <w:rsid w:val="00CF40FB"/>
    <w:rsid w:val="00CF4C14"/>
    <w:rsid w:val="00CF50E0"/>
    <w:rsid w:val="00CF5425"/>
    <w:rsid w:val="00CF610E"/>
    <w:rsid w:val="00CF6CA1"/>
    <w:rsid w:val="00CF6D6E"/>
    <w:rsid w:val="00CF7731"/>
    <w:rsid w:val="00CF78CE"/>
    <w:rsid w:val="00CF7ED9"/>
    <w:rsid w:val="00D00962"/>
    <w:rsid w:val="00D00A41"/>
    <w:rsid w:val="00D0147D"/>
    <w:rsid w:val="00D01574"/>
    <w:rsid w:val="00D01773"/>
    <w:rsid w:val="00D01BC4"/>
    <w:rsid w:val="00D01C4C"/>
    <w:rsid w:val="00D022F1"/>
    <w:rsid w:val="00D02EDB"/>
    <w:rsid w:val="00D03137"/>
    <w:rsid w:val="00D035EB"/>
    <w:rsid w:val="00D0389E"/>
    <w:rsid w:val="00D03C94"/>
    <w:rsid w:val="00D03D51"/>
    <w:rsid w:val="00D057C6"/>
    <w:rsid w:val="00D05E10"/>
    <w:rsid w:val="00D06052"/>
    <w:rsid w:val="00D06FB9"/>
    <w:rsid w:val="00D073FC"/>
    <w:rsid w:val="00D0766D"/>
    <w:rsid w:val="00D11496"/>
    <w:rsid w:val="00D11515"/>
    <w:rsid w:val="00D11BDC"/>
    <w:rsid w:val="00D11D48"/>
    <w:rsid w:val="00D1254C"/>
    <w:rsid w:val="00D137E3"/>
    <w:rsid w:val="00D13B8D"/>
    <w:rsid w:val="00D13BE7"/>
    <w:rsid w:val="00D140D4"/>
    <w:rsid w:val="00D14294"/>
    <w:rsid w:val="00D1432F"/>
    <w:rsid w:val="00D143D9"/>
    <w:rsid w:val="00D145FD"/>
    <w:rsid w:val="00D1535A"/>
    <w:rsid w:val="00D15A60"/>
    <w:rsid w:val="00D164F3"/>
    <w:rsid w:val="00D16D20"/>
    <w:rsid w:val="00D16F77"/>
    <w:rsid w:val="00D170E7"/>
    <w:rsid w:val="00D175D1"/>
    <w:rsid w:val="00D1792B"/>
    <w:rsid w:val="00D17A47"/>
    <w:rsid w:val="00D17C44"/>
    <w:rsid w:val="00D17C8A"/>
    <w:rsid w:val="00D200AE"/>
    <w:rsid w:val="00D2015D"/>
    <w:rsid w:val="00D204F2"/>
    <w:rsid w:val="00D20D4E"/>
    <w:rsid w:val="00D20E9D"/>
    <w:rsid w:val="00D22363"/>
    <w:rsid w:val="00D22369"/>
    <w:rsid w:val="00D22807"/>
    <w:rsid w:val="00D23687"/>
    <w:rsid w:val="00D2555F"/>
    <w:rsid w:val="00D25C95"/>
    <w:rsid w:val="00D25D6F"/>
    <w:rsid w:val="00D261B3"/>
    <w:rsid w:val="00D2705C"/>
    <w:rsid w:val="00D30431"/>
    <w:rsid w:val="00D30433"/>
    <w:rsid w:val="00D30AD2"/>
    <w:rsid w:val="00D3176E"/>
    <w:rsid w:val="00D317B2"/>
    <w:rsid w:val="00D3223F"/>
    <w:rsid w:val="00D33636"/>
    <w:rsid w:val="00D35FB7"/>
    <w:rsid w:val="00D36186"/>
    <w:rsid w:val="00D36207"/>
    <w:rsid w:val="00D364CF"/>
    <w:rsid w:val="00D3688A"/>
    <w:rsid w:val="00D368C6"/>
    <w:rsid w:val="00D36B02"/>
    <w:rsid w:val="00D36ECA"/>
    <w:rsid w:val="00D36FC3"/>
    <w:rsid w:val="00D37304"/>
    <w:rsid w:val="00D37963"/>
    <w:rsid w:val="00D379AA"/>
    <w:rsid w:val="00D403F9"/>
    <w:rsid w:val="00D40750"/>
    <w:rsid w:val="00D40B7C"/>
    <w:rsid w:val="00D40BCE"/>
    <w:rsid w:val="00D416A5"/>
    <w:rsid w:val="00D42C04"/>
    <w:rsid w:val="00D42EBA"/>
    <w:rsid w:val="00D43659"/>
    <w:rsid w:val="00D43FD0"/>
    <w:rsid w:val="00D444C7"/>
    <w:rsid w:val="00D445B6"/>
    <w:rsid w:val="00D447B5"/>
    <w:rsid w:val="00D448FF"/>
    <w:rsid w:val="00D44A28"/>
    <w:rsid w:val="00D45B1E"/>
    <w:rsid w:val="00D460AB"/>
    <w:rsid w:val="00D461CE"/>
    <w:rsid w:val="00D462C9"/>
    <w:rsid w:val="00D465EF"/>
    <w:rsid w:val="00D46703"/>
    <w:rsid w:val="00D47381"/>
    <w:rsid w:val="00D51016"/>
    <w:rsid w:val="00D51414"/>
    <w:rsid w:val="00D5187A"/>
    <w:rsid w:val="00D51C25"/>
    <w:rsid w:val="00D5394F"/>
    <w:rsid w:val="00D53A40"/>
    <w:rsid w:val="00D53F1B"/>
    <w:rsid w:val="00D553A8"/>
    <w:rsid w:val="00D557E4"/>
    <w:rsid w:val="00D558B0"/>
    <w:rsid w:val="00D55973"/>
    <w:rsid w:val="00D55E46"/>
    <w:rsid w:val="00D565A2"/>
    <w:rsid w:val="00D56693"/>
    <w:rsid w:val="00D56F17"/>
    <w:rsid w:val="00D60388"/>
    <w:rsid w:val="00D6186B"/>
    <w:rsid w:val="00D618D5"/>
    <w:rsid w:val="00D61DFD"/>
    <w:rsid w:val="00D62669"/>
    <w:rsid w:val="00D62739"/>
    <w:rsid w:val="00D62E09"/>
    <w:rsid w:val="00D6344D"/>
    <w:rsid w:val="00D64173"/>
    <w:rsid w:val="00D64734"/>
    <w:rsid w:val="00D64D5A"/>
    <w:rsid w:val="00D65503"/>
    <w:rsid w:val="00D6554D"/>
    <w:rsid w:val="00D656F6"/>
    <w:rsid w:val="00D65CE1"/>
    <w:rsid w:val="00D65F82"/>
    <w:rsid w:val="00D662C4"/>
    <w:rsid w:val="00D663B9"/>
    <w:rsid w:val="00D66D3C"/>
    <w:rsid w:val="00D672E7"/>
    <w:rsid w:val="00D678C0"/>
    <w:rsid w:val="00D67E32"/>
    <w:rsid w:val="00D70D20"/>
    <w:rsid w:val="00D70F04"/>
    <w:rsid w:val="00D71D52"/>
    <w:rsid w:val="00D71DB9"/>
    <w:rsid w:val="00D7211C"/>
    <w:rsid w:val="00D723CD"/>
    <w:rsid w:val="00D7252F"/>
    <w:rsid w:val="00D72608"/>
    <w:rsid w:val="00D731BE"/>
    <w:rsid w:val="00D734F0"/>
    <w:rsid w:val="00D73BF2"/>
    <w:rsid w:val="00D747F7"/>
    <w:rsid w:val="00D769F2"/>
    <w:rsid w:val="00D76DA4"/>
    <w:rsid w:val="00D77265"/>
    <w:rsid w:val="00D80150"/>
    <w:rsid w:val="00D80264"/>
    <w:rsid w:val="00D817CF"/>
    <w:rsid w:val="00D828AA"/>
    <w:rsid w:val="00D82DCA"/>
    <w:rsid w:val="00D836A4"/>
    <w:rsid w:val="00D837D0"/>
    <w:rsid w:val="00D83921"/>
    <w:rsid w:val="00D83A33"/>
    <w:rsid w:val="00D84997"/>
    <w:rsid w:val="00D84B90"/>
    <w:rsid w:val="00D84C5E"/>
    <w:rsid w:val="00D85078"/>
    <w:rsid w:val="00D85CBF"/>
    <w:rsid w:val="00D85E0F"/>
    <w:rsid w:val="00D85F86"/>
    <w:rsid w:val="00D86DEE"/>
    <w:rsid w:val="00D904AD"/>
    <w:rsid w:val="00D90A9F"/>
    <w:rsid w:val="00D90B5E"/>
    <w:rsid w:val="00D90C9A"/>
    <w:rsid w:val="00D90D6D"/>
    <w:rsid w:val="00D91785"/>
    <w:rsid w:val="00D921C2"/>
    <w:rsid w:val="00D94330"/>
    <w:rsid w:val="00D947AB"/>
    <w:rsid w:val="00D94F01"/>
    <w:rsid w:val="00D950BC"/>
    <w:rsid w:val="00D96238"/>
    <w:rsid w:val="00D9699C"/>
    <w:rsid w:val="00D96ABF"/>
    <w:rsid w:val="00D97196"/>
    <w:rsid w:val="00D97284"/>
    <w:rsid w:val="00D9734B"/>
    <w:rsid w:val="00DA1260"/>
    <w:rsid w:val="00DA13CA"/>
    <w:rsid w:val="00DA1DC0"/>
    <w:rsid w:val="00DA54AE"/>
    <w:rsid w:val="00DA5566"/>
    <w:rsid w:val="00DA5A38"/>
    <w:rsid w:val="00DA5CC1"/>
    <w:rsid w:val="00DA61A1"/>
    <w:rsid w:val="00DA6FE9"/>
    <w:rsid w:val="00DA6FF1"/>
    <w:rsid w:val="00DA7365"/>
    <w:rsid w:val="00DB03F5"/>
    <w:rsid w:val="00DB0D4C"/>
    <w:rsid w:val="00DB11D8"/>
    <w:rsid w:val="00DB1889"/>
    <w:rsid w:val="00DB19D5"/>
    <w:rsid w:val="00DB1BE7"/>
    <w:rsid w:val="00DB2215"/>
    <w:rsid w:val="00DB270F"/>
    <w:rsid w:val="00DB2DAA"/>
    <w:rsid w:val="00DB3834"/>
    <w:rsid w:val="00DB3E3C"/>
    <w:rsid w:val="00DB3FC2"/>
    <w:rsid w:val="00DB4326"/>
    <w:rsid w:val="00DB4B2C"/>
    <w:rsid w:val="00DB4F86"/>
    <w:rsid w:val="00DB661B"/>
    <w:rsid w:val="00DB6C7A"/>
    <w:rsid w:val="00DC1D56"/>
    <w:rsid w:val="00DC2D1A"/>
    <w:rsid w:val="00DC32B9"/>
    <w:rsid w:val="00DC350E"/>
    <w:rsid w:val="00DC358B"/>
    <w:rsid w:val="00DC35AA"/>
    <w:rsid w:val="00DC37EB"/>
    <w:rsid w:val="00DC3E97"/>
    <w:rsid w:val="00DC44E4"/>
    <w:rsid w:val="00DC473A"/>
    <w:rsid w:val="00DC47C9"/>
    <w:rsid w:val="00DC58D8"/>
    <w:rsid w:val="00DC5914"/>
    <w:rsid w:val="00DC5AFE"/>
    <w:rsid w:val="00DC6693"/>
    <w:rsid w:val="00DC66DF"/>
    <w:rsid w:val="00DC74F3"/>
    <w:rsid w:val="00DC76CE"/>
    <w:rsid w:val="00DD10A2"/>
    <w:rsid w:val="00DD148D"/>
    <w:rsid w:val="00DD1A82"/>
    <w:rsid w:val="00DD1CA7"/>
    <w:rsid w:val="00DD1DE5"/>
    <w:rsid w:val="00DD27FE"/>
    <w:rsid w:val="00DD3F28"/>
    <w:rsid w:val="00DD4575"/>
    <w:rsid w:val="00DD5034"/>
    <w:rsid w:val="00DD5324"/>
    <w:rsid w:val="00DD565E"/>
    <w:rsid w:val="00DD57E6"/>
    <w:rsid w:val="00DD5B60"/>
    <w:rsid w:val="00DD637E"/>
    <w:rsid w:val="00DD6427"/>
    <w:rsid w:val="00DD6524"/>
    <w:rsid w:val="00DD7B77"/>
    <w:rsid w:val="00DE032D"/>
    <w:rsid w:val="00DE0A86"/>
    <w:rsid w:val="00DE1770"/>
    <w:rsid w:val="00DE191E"/>
    <w:rsid w:val="00DE28EC"/>
    <w:rsid w:val="00DE3093"/>
    <w:rsid w:val="00DE3866"/>
    <w:rsid w:val="00DE3DA8"/>
    <w:rsid w:val="00DE4E3A"/>
    <w:rsid w:val="00DE51BD"/>
    <w:rsid w:val="00DE565C"/>
    <w:rsid w:val="00DE5897"/>
    <w:rsid w:val="00DE5CEB"/>
    <w:rsid w:val="00DE726C"/>
    <w:rsid w:val="00DE79AC"/>
    <w:rsid w:val="00DF13DC"/>
    <w:rsid w:val="00DF1E16"/>
    <w:rsid w:val="00DF2546"/>
    <w:rsid w:val="00DF35E0"/>
    <w:rsid w:val="00DF5155"/>
    <w:rsid w:val="00DF5592"/>
    <w:rsid w:val="00DF5847"/>
    <w:rsid w:val="00DF5D25"/>
    <w:rsid w:val="00DF5E13"/>
    <w:rsid w:val="00DF5F8B"/>
    <w:rsid w:val="00DF6095"/>
    <w:rsid w:val="00DF6AB3"/>
    <w:rsid w:val="00DF6F58"/>
    <w:rsid w:val="00DF744C"/>
    <w:rsid w:val="00DF7677"/>
    <w:rsid w:val="00E003EC"/>
    <w:rsid w:val="00E00503"/>
    <w:rsid w:val="00E005F7"/>
    <w:rsid w:val="00E00D38"/>
    <w:rsid w:val="00E01277"/>
    <w:rsid w:val="00E0141D"/>
    <w:rsid w:val="00E019CE"/>
    <w:rsid w:val="00E01D32"/>
    <w:rsid w:val="00E024EC"/>
    <w:rsid w:val="00E0297C"/>
    <w:rsid w:val="00E033AF"/>
    <w:rsid w:val="00E03A01"/>
    <w:rsid w:val="00E03BC8"/>
    <w:rsid w:val="00E04182"/>
    <w:rsid w:val="00E04ABF"/>
    <w:rsid w:val="00E06107"/>
    <w:rsid w:val="00E068CA"/>
    <w:rsid w:val="00E068FF"/>
    <w:rsid w:val="00E06B61"/>
    <w:rsid w:val="00E0718E"/>
    <w:rsid w:val="00E101FE"/>
    <w:rsid w:val="00E1073B"/>
    <w:rsid w:val="00E10D48"/>
    <w:rsid w:val="00E10E38"/>
    <w:rsid w:val="00E11C8C"/>
    <w:rsid w:val="00E1236E"/>
    <w:rsid w:val="00E1237A"/>
    <w:rsid w:val="00E12445"/>
    <w:rsid w:val="00E12453"/>
    <w:rsid w:val="00E12F3A"/>
    <w:rsid w:val="00E1477B"/>
    <w:rsid w:val="00E148B2"/>
    <w:rsid w:val="00E15588"/>
    <w:rsid w:val="00E1573C"/>
    <w:rsid w:val="00E15F18"/>
    <w:rsid w:val="00E166C9"/>
    <w:rsid w:val="00E1680A"/>
    <w:rsid w:val="00E172FF"/>
    <w:rsid w:val="00E17A02"/>
    <w:rsid w:val="00E17A56"/>
    <w:rsid w:val="00E20A3A"/>
    <w:rsid w:val="00E211F1"/>
    <w:rsid w:val="00E21265"/>
    <w:rsid w:val="00E21D3F"/>
    <w:rsid w:val="00E22569"/>
    <w:rsid w:val="00E23896"/>
    <w:rsid w:val="00E23AF6"/>
    <w:rsid w:val="00E24E81"/>
    <w:rsid w:val="00E25325"/>
    <w:rsid w:val="00E25C76"/>
    <w:rsid w:val="00E25DC8"/>
    <w:rsid w:val="00E262E3"/>
    <w:rsid w:val="00E2680C"/>
    <w:rsid w:val="00E2685C"/>
    <w:rsid w:val="00E26B3E"/>
    <w:rsid w:val="00E27325"/>
    <w:rsid w:val="00E279AE"/>
    <w:rsid w:val="00E30487"/>
    <w:rsid w:val="00E328B3"/>
    <w:rsid w:val="00E32B91"/>
    <w:rsid w:val="00E33201"/>
    <w:rsid w:val="00E332B5"/>
    <w:rsid w:val="00E33954"/>
    <w:rsid w:val="00E33D27"/>
    <w:rsid w:val="00E347D3"/>
    <w:rsid w:val="00E370D8"/>
    <w:rsid w:val="00E372B4"/>
    <w:rsid w:val="00E37A95"/>
    <w:rsid w:val="00E429CB"/>
    <w:rsid w:val="00E42FDD"/>
    <w:rsid w:val="00E43935"/>
    <w:rsid w:val="00E4413B"/>
    <w:rsid w:val="00E44235"/>
    <w:rsid w:val="00E44AD5"/>
    <w:rsid w:val="00E44B19"/>
    <w:rsid w:val="00E45030"/>
    <w:rsid w:val="00E455AC"/>
    <w:rsid w:val="00E45620"/>
    <w:rsid w:val="00E45623"/>
    <w:rsid w:val="00E45C91"/>
    <w:rsid w:val="00E45E4F"/>
    <w:rsid w:val="00E45E90"/>
    <w:rsid w:val="00E46052"/>
    <w:rsid w:val="00E462B8"/>
    <w:rsid w:val="00E472FF"/>
    <w:rsid w:val="00E47317"/>
    <w:rsid w:val="00E4756A"/>
    <w:rsid w:val="00E477B4"/>
    <w:rsid w:val="00E47C47"/>
    <w:rsid w:val="00E47CCE"/>
    <w:rsid w:val="00E508AF"/>
    <w:rsid w:val="00E50F59"/>
    <w:rsid w:val="00E51713"/>
    <w:rsid w:val="00E524C7"/>
    <w:rsid w:val="00E52ACF"/>
    <w:rsid w:val="00E53664"/>
    <w:rsid w:val="00E540D6"/>
    <w:rsid w:val="00E54AA8"/>
    <w:rsid w:val="00E55B12"/>
    <w:rsid w:val="00E5634E"/>
    <w:rsid w:val="00E57376"/>
    <w:rsid w:val="00E57751"/>
    <w:rsid w:val="00E5786A"/>
    <w:rsid w:val="00E57C51"/>
    <w:rsid w:val="00E60459"/>
    <w:rsid w:val="00E62451"/>
    <w:rsid w:val="00E62D44"/>
    <w:rsid w:val="00E62EA9"/>
    <w:rsid w:val="00E62F68"/>
    <w:rsid w:val="00E635EF"/>
    <w:rsid w:val="00E63855"/>
    <w:rsid w:val="00E63B9B"/>
    <w:rsid w:val="00E63BE2"/>
    <w:rsid w:val="00E63D1A"/>
    <w:rsid w:val="00E63FE2"/>
    <w:rsid w:val="00E64488"/>
    <w:rsid w:val="00E6474B"/>
    <w:rsid w:val="00E64BD7"/>
    <w:rsid w:val="00E64F8F"/>
    <w:rsid w:val="00E654DC"/>
    <w:rsid w:val="00E65DDD"/>
    <w:rsid w:val="00E6631A"/>
    <w:rsid w:val="00E66DEB"/>
    <w:rsid w:val="00E67465"/>
    <w:rsid w:val="00E70934"/>
    <w:rsid w:val="00E70E71"/>
    <w:rsid w:val="00E71960"/>
    <w:rsid w:val="00E719A9"/>
    <w:rsid w:val="00E71CB4"/>
    <w:rsid w:val="00E71EF9"/>
    <w:rsid w:val="00E73196"/>
    <w:rsid w:val="00E731D5"/>
    <w:rsid w:val="00E739B5"/>
    <w:rsid w:val="00E73E07"/>
    <w:rsid w:val="00E73EFB"/>
    <w:rsid w:val="00E74145"/>
    <w:rsid w:val="00E74742"/>
    <w:rsid w:val="00E74773"/>
    <w:rsid w:val="00E74EE3"/>
    <w:rsid w:val="00E75002"/>
    <w:rsid w:val="00E75D57"/>
    <w:rsid w:val="00E8179E"/>
    <w:rsid w:val="00E81EF3"/>
    <w:rsid w:val="00E82524"/>
    <w:rsid w:val="00E82560"/>
    <w:rsid w:val="00E82CA7"/>
    <w:rsid w:val="00E83074"/>
    <w:rsid w:val="00E832FC"/>
    <w:rsid w:val="00E833F3"/>
    <w:rsid w:val="00E8384D"/>
    <w:rsid w:val="00E84208"/>
    <w:rsid w:val="00E847D4"/>
    <w:rsid w:val="00E85803"/>
    <w:rsid w:val="00E85881"/>
    <w:rsid w:val="00E85DE6"/>
    <w:rsid w:val="00E85E6D"/>
    <w:rsid w:val="00E87151"/>
    <w:rsid w:val="00E875FE"/>
    <w:rsid w:val="00E8787A"/>
    <w:rsid w:val="00E87D35"/>
    <w:rsid w:val="00E87FA4"/>
    <w:rsid w:val="00E904EF"/>
    <w:rsid w:val="00E906B3"/>
    <w:rsid w:val="00E908F9"/>
    <w:rsid w:val="00E90ED3"/>
    <w:rsid w:val="00E917F1"/>
    <w:rsid w:val="00E9197A"/>
    <w:rsid w:val="00E91A41"/>
    <w:rsid w:val="00E92154"/>
    <w:rsid w:val="00E924C7"/>
    <w:rsid w:val="00E935EF"/>
    <w:rsid w:val="00E939BA"/>
    <w:rsid w:val="00E93BD7"/>
    <w:rsid w:val="00E9413C"/>
    <w:rsid w:val="00E94A74"/>
    <w:rsid w:val="00E96555"/>
    <w:rsid w:val="00E96AE0"/>
    <w:rsid w:val="00E96C0F"/>
    <w:rsid w:val="00E97924"/>
    <w:rsid w:val="00EA05F9"/>
    <w:rsid w:val="00EA0894"/>
    <w:rsid w:val="00EA0EB9"/>
    <w:rsid w:val="00EA0EBA"/>
    <w:rsid w:val="00EA1399"/>
    <w:rsid w:val="00EA160C"/>
    <w:rsid w:val="00EA172E"/>
    <w:rsid w:val="00EA1FEC"/>
    <w:rsid w:val="00EA23A9"/>
    <w:rsid w:val="00EA2A27"/>
    <w:rsid w:val="00EA2DE9"/>
    <w:rsid w:val="00EA2FFF"/>
    <w:rsid w:val="00EA3F55"/>
    <w:rsid w:val="00EA4E1B"/>
    <w:rsid w:val="00EA5028"/>
    <w:rsid w:val="00EA55D4"/>
    <w:rsid w:val="00EA6300"/>
    <w:rsid w:val="00EA64C1"/>
    <w:rsid w:val="00EA65B3"/>
    <w:rsid w:val="00EA6A37"/>
    <w:rsid w:val="00EA6CF2"/>
    <w:rsid w:val="00EA75A0"/>
    <w:rsid w:val="00EA7DD8"/>
    <w:rsid w:val="00EA7FB6"/>
    <w:rsid w:val="00EB08D7"/>
    <w:rsid w:val="00EB119B"/>
    <w:rsid w:val="00EB1BE9"/>
    <w:rsid w:val="00EB2441"/>
    <w:rsid w:val="00EB3490"/>
    <w:rsid w:val="00EB349B"/>
    <w:rsid w:val="00EB36C3"/>
    <w:rsid w:val="00EB37B7"/>
    <w:rsid w:val="00EB389F"/>
    <w:rsid w:val="00EB3BB9"/>
    <w:rsid w:val="00EB42F2"/>
    <w:rsid w:val="00EB445F"/>
    <w:rsid w:val="00EB4DE9"/>
    <w:rsid w:val="00EB4EB9"/>
    <w:rsid w:val="00EB4EC8"/>
    <w:rsid w:val="00EB556D"/>
    <w:rsid w:val="00EB5C2D"/>
    <w:rsid w:val="00EB6A09"/>
    <w:rsid w:val="00EB6AE6"/>
    <w:rsid w:val="00EB6BA7"/>
    <w:rsid w:val="00EB7EC8"/>
    <w:rsid w:val="00EC05F1"/>
    <w:rsid w:val="00EC0AD6"/>
    <w:rsid w:val="00EC1605"/>
    <w:rsid w:val="00EC2010"/>
    <w:rsid w:val="00EC20F7"/>
    <w:rsid w:val="00EC25EF"/>
    <w:rsid w:val="00EC2747"/>
    <w:rsid w:val="00EC2BD3"/>
    <w:rsid w:val="00EC380C"/>
    <w:rsid w:val="00EC542C"/>
    <w:rsid w:val="00EC58E4"/>
    <w:rsid w:val="00EC5D69"/>
    <w:rsid w:val="00EC6538"/>
    <w:rsid w:val="00EC6738"/>
    <w:rsid w:val="00EC73A4"/>
    <w:rsid w:val="00EC78E0"/>
    <w:rsid w:val="00EC7B46"/>
    <w:rsid w:val="00ED0196"/>
    <w:rsid w:val="00ED1C49"/>
    <w:rsid w:val="00ED2D6B"/>
    <w:rsid w:val="00ED32DC"/>
    <w:rsid w:val="00ED3C61"/>
    <w:rsid w:val="00ED3FBE"/>
    <w:rsid w:val="00ED4BB0"/>
    <w:rsid w:val="00ED6481"/>
    <w:rsid w:val="00ED7A5F"/>
    <w:rsid w:val="00EE0067"/>
    <w:rsid w:val="00EE0186"/>
    <w:rsid w:val="00EE0196"/>
    <w:rsid w:val="00EE1302"/>
    <w:rsid w:val="00EE1AA0"/>
    <w:rsid w:val="00EE1EF5"/>
    <w:rsid w:val="00EE3F24"/>
    <w:rsid w:val="00EE4C47"/>
    <w:rsid w:val="00EE4E85"/>
    <w:rsid w:val="00EE5D76"/>
    <w:rsid w:val="00EE60E5"/>
    <w:rsid w:val="00EE6274"/>
    <w:rsid w:val="00EE6893"/>
    <w:rsid w:val="00EE6901"/>
    <w:rsid w:val="00EE6A19"/>
    <w:rsid w:val="00EE7890"/>
    <w:rsid w:val="00EE792D"/>
    <w:rsid w:val="00EF11E1"/>
    <w:rsid w:val="00EF14A6"/>
    <w:rsid w:val="00EF1F50"/>
    <w:rsid w:val="00EF230B"/>
    <w:rsid w:val="00EF2333"/>
    <w:rsid w:val="00EF23E1"/>
    <w:rsid w:val="00EF2727"/>
    <w:rsid w:val="00EF3006"/>
    <w:rsid w:val="00EF3326"/>
    <w:rsid w:val="00EF3ADC"/>
    <w:rsid w:val="00EF4547"/>
    <w:rsid w:val="00EF466D"/>
    <w:rsid w:val="00EF4D7A"/>
    <w:rsid w:val="00EF5596"/>
    <w:rsid w:val="00EF627A"/>
    <w:rsid w:val="00EF6A07"/>
    <w:rsid w:val="00EF741C"/>
    <w:rsid w:val="00F00384"/>
    <w:rsid w:val="00F00611"/>
    <w:rsid w:val="00F0090C"/>
    <w:rsid w:val="00F0169D"/>
    <w:rsid w:val="00F01EE2"/>
    <w:rsid w:val="00F02447"/>
    <w:rsid w:val="00F024A0"/>
    <w:rsid w:val="00F026A9"/>
    <w:rsid w:val="00F02E69"/>
    <w:rsid w:val="00F02FF3"/>
    <w:rsid w:val="00F04F9A"/>
    <w:rsid w:val="00F05D8D"/>
    <w:rsid w:val="00F05ED4"/>
    <w:rsid w:val="00F06237"/>
    <w:rsid w:val="00F06422"/>
    <w:rsid w:val="00F07D6F"/>
    <w:rsid w:val="00F07FAE"/>
    <w:rsid w:val="00F10611"/>
    <w:rsid w:val="00F1080B"/>
    <w:rsid w:val="00F108B0"/>
    <w:rsid w:val="00F10A2A"/>
    <w:rsid w:val="00F10BA3"/>
    <w:rsid w:val="00F123DA"/>
    <w:rsid w:val="00F1297E"/>
    <w:rsid w:val="00F12DDC"/>
    <w:rsid w:val="00F13255"/>
    <w:rsid w:val="00F13821"/>
    <w:rsid w:val="00F13AA2"/>
    <w:rsid w:val="00F1400A"/>
    <w:rsid w:val="00F141C3"/>
    <w:rsid w:val="00F143A9"/>
    <w:rsid w:val="00F144DE"/>
    <w:rsid w:val="00F14A0A"/>
    <w:rsid w:val="00F14AE6"/>
    <w:rsid w:val="00F14EA7"/>
    <w:rsid w:val="00F14F3F"/>
    <w:rsid w:val="00F154AD"/>
    <w:rsid w:val="00F156FB"/>
    <w:rsid w:val="00F157AE"/>
    <w:rsid w:val="00F15983"/>
    <w:rsid w:val="00F17439"/>
    <w:rsid w:val="00F1752A"/>
    <w:rsid w:val="00F17E23"/>
    <w:rsid w:val="00F17EF9"/>
    <w:rsid w:val="00F21301"/>
    <w:rsid w:val="00F213D0"/>
    <w:rsid w:val="00F21EE9"/>
    <w:rsid w:val="00F2204E"/>
    <w:rsid w:val="00F22801"/>
    <w:rsid w:val="00F22DEB"/>
    <w:rsid w:val="00F22EB2"/>
    <w:rsid w:val="00F23120"/>
    <w:rsid w:val="00F23761"/>
    <w:rsid w:val="00F23850"/>
    <w:rsid w:val="00F26456"/>
    <w:rsid w:val="00F26A01"/>
    <w:rsid w:val="00F2791C"/>
    <w:rsid w:val="00F3019C"/>
    <w:rsid w:val="00F303FE"/>
    <w:rsid w:val="00F30AD6"/>
    <w:rsid w:val="00F31149"/>
    <w:rsid w:val="00F31183"/>
    <w:rsid w:val="00F31DCD"/>
    <w:rsid w:val="00F33335"/>
    <w:rsid w:val="00F33889"/>
    <w:rsid w:val="00F339C4"/>
    <w:rsid w:val="00F3464F"/>
    <w:rsid w:val="00F34DB6"/>
    <w:rsid w:val="00F369CD"/>
    <w:rsid w:val="00F375D8"/>
    <w:rsid w:val="00F4011A"/>
    <w:rsid w:val="00F4088D"/>
    <w:rsid w:val="00F4159D"/>
    <w:rsid w:val="00F4263D"/>
    <w:rsid w:val="00F42B15"/>
    <w:rsid w:val="00F4546D"/>
    <w:rsid w:val="00F45833"/>
    <w:rsid w:val="00F4605E"/>
    <w:rsid w:val="00F4608D"/>
    <w:rsid w:val="00F461BB"/>
    <w:rsid w:val="00F46C35"/>
    <w:rsid w:val="00F4713C"/>
    <w:rsid w:val="00F474FE"/>
    <w:rsid w:val="00F4751E"/>
    <w:rsid w:val="00F47D16"/>
    <w:rsid w:val="00F47D80"/>
    <w:rsid w:val="00F50E03"/>
    <w:rsid w:val="00F51586"/>
    <w:rsid w:val="00F51594"/>
    <w:rsid w:val="00F51A82"/>
    <w:rsid w:val="00F51C69"/>
    <w:rsid w:val="00F51EE7"/>
    <w:rsid w:val="00F53180"/>
    <w:rsid w:val="00F534AA"/>
    <w:rsid w:val="00F53DFD"/>
    <w:rsid w:val="00F540C1"/>
    <w:rsid w:val="00F54127"/>
    <w:rsid w:val="00F54723"/>
    <w:rsid w:val="00F54765"/>
    <w:rsid w:val="00F54A89"/>
    <w:rsid w:val="00F54D7D"/>
    <w:rsid w:val="00F54DB4"/>
    <w:rsid w:val="00F557E3"/>
    <w:rsid w:val="00F55FED"/>
    <w:rsid w:val="00F56590"/>
    <w:rsid w:val="00F6018E"/>
    <w:rsid w:val="00F606C2"/>
    <w:rsid w:val="00F60EA7"/>
    <w:rsid w:val="00F61086"/>
    <w:rsid w:val="00F617B9"/>
    <w:rsid w:val="00F6190D"/>
    <w:rsid w:val="00F61BF9"/>
    <w:rsid w:val="00F62A66"/>
    <w:rsid w:val="00F63150"/>
    <w:rsid w:val="00F63948"/>
    <w:rsid w:val="00F639EC"/>
    <w:rsid w:val="00F64573"/>
    <w:rsid w:val="00F64C60"/>
    <w:rsid w:val="00F6521F"/>
    <w:rsid w:val="00F6563D"/>
    <w:rsid w:val="00F657B4"/>
    <w:rsid w:val="00F65E3B"/>
    <w:rsid w:val="00F66078"/>
    <w:rsid w:val="00F6687E"/>
    <w:rsid w:val="00F66D39"/>
    <w:rsid w:val="00F670D0"/>
    <w:rsid w:val="00F70397"/>
    <w:rsid w:val="00F70596"/>
    <w:rsid w:val="00F70802"/>
    <w:rsid w:val="00F70B65"/>
    <w:rsid w:val="00F70D14"/>
    <w:rsid w:val="00F716AB"/>
    <w:rsid w:val="00F719F4"/>
    <w:rsid w:val="00F71FA9"/>
    <w:rsid w:val="00F72000"/>
    <w:rsid w:val="00F72655"/>
    <w:rsid w:val="00F72869"/>
    <w:rsid w:val="00F72C99"/>
    <w:rsid w:val="00F73520"/>
    <w:rsid w:val="00F7432E"/>
    <w:rsid w:val="00F7459D"/>
    <w:rsid w:val="00F74DF5"/>
    <w:rsid w:val="00F75271"/>
    <w:rsid w:val="00F75315"/>
    <w:rsid w:val="00F76CA8"/>
    <w:rsid w:val="00F773EC"/>
    <w:rsid w:val="00F8050E"/>
    <w:rsid w:val="00F80EE7"/>
    <w:rsid w:val="00F814C5"/>
    <w:rsid w:val="00F82084"/>
    <w:rsid w:val="00F827CB"/>
    <w:rsid w:val="00F82E93"/>
    <w:rsid w:val="00F843BB"/>
    <w:rsid w:val="00F8442E"/>
    <w:rsid w:val="00F84815"/>
    <w:rsid w:val="00F84E35"/>
    <w:rsid w:val="00F85219"/>
    <w:rsid w:val="00F856C7"/>
    <w:rsid w:val="00F85EA6"/>
    <w:rsid w:val="00F85FF2"/>
    <w:rsid w:val="00F8621B"/>
    <w:rsid w:val="00F871C0"/>
    <w:rsid w:val="00F90241"/>
    <w:rsid w:val="00F90488"/>
    <w:rsid w:val="00F913D1"/>
    <w:rsid w:val="00F91B89"/>
    <w:rsid w:val="00F91BDE"/>
    <w:rsid w:val="00F923BA"/>
    <w:rsid w:val="00F92856"/>
    <w:rsid w:val="00F93FD2"/>
    <w:rsid w:val="00F94514"/>
    <w:rsid w:val="00F954DD"/>
    <w:rsid w:val="00F9586B"/>
    <w:rsid w:val="00F95A24"/>
    <w:rsid w:val="00F95CF7"/>
    <w:rsid w:val="00F96808"/>
    <w:rsid w:val="00F96D29"/>
    <w:rsid w:val="00F96F20"/>
    <w:rsid w:val="00F97E91"/>
    <w:rsid w:val="00FA14D1"/>
    <w:rsid w:val="00FA15DE"/>
    <w:rsid w:val="00FA1B64"/>
    <w:rsid w:val="00FA2670"/>
    <w:rsid w:val="00FA2764"/>
    <w:rsid w:val="00FA2CB5"/>
    <w:rsid w:val="00FA2FBD"/>
    <w:rsid w:val="00FA3134"/>
    <w:rsid w:val="00FA3CE8"/>
    <w:rsid w:val="00FA3FBA"/>
    <w:rsid w:val="00FA40C9"/>
    <w:rsid w:val="00FA40E8"/>
    <w:rsid w:val="00FA5489"/>
    <w:rsid w:val="00FA560C"/>
    <w:rsid w:val="00FA5654"/>
    <w:rsid w:val="00FA5693"/>
    <w:rsid w:val="00FA5AC2"/>
    <w:rsid w:val="00FA5B83"/>
    <w:rsid w:val="00FA6E0D"/>
    <w:rsid w:val="00FA7AA4"/>
    <w:rsid w:val="00FB025A"/>
    <w:rsid w:val="00FB08F9"/>
    <w:rsid w:val="00FB156C"/>
    <w:rsid w:val="00FB1D03"/>
    <w:rsid w:val="00FB24A9"/>
    <w:rsid w:val="00FB2B39"/>
    <w:rsid w:val="00FB2BE7"/>
    <w:rsid w:val="00FB45DF"/>
    <w:rsid w:val="00FB47ED"/>
    <w:rsid w:val="00FB50FD"/>
    <w:rsid w:val="00FB5C7D"/>
    <w:rsid w:val="00FB5E4F"/>
    <w:rsid w:val="00FB6262"/>
    <w:rsid w:val="00FB6CEE"/>
    <w:rsid w:val="00FC18A7"/>
    <w:rsid w:val="00FC1C78"/>
    <w:rsid w:val="00FC235B"/>
    <w:rsid w:val="00FC313B"/>
    <w:rsid w:val="00FC315F"/>
    <w:rsid w:val="00FC3274"/>
    <w:rsid w:val="00FC4137"/>
    <w:rsid w:val="00FC6114"/>
    <w:rsid w:val="00FC6861"/>
    <w:rsid w:val="00FC6DBE"/>
    <w:rsid w:val="00FC6E22"/>
    <w:rsid w:val="00FC7626"/>
    <w:rsid w:val="00FC7B7B"/>
    <w:rsid w:val="00FD0744"/>
    <w:rsid w:val="00FD081F"/>
    <w:rsid w:val="00FD1AE9"/>
    <w:rsid w:val="00FD1BCE"/>
    <w:rsid w:val="00FD1C25"/>
    <w:rsid w:val="00FD1C7A"/>
    <w:rsid w:val="00FD1C95"/>
    <w:rsid w:val="00FD27B8"/>
    <w:rsid w:val="00FD4838"/>
    <w:rsid w:val="00FD5D9F"/>
    <w:rsid w:val="00FD6C29"/>
    <w:rsid w:val="00FD7F40"/>
    <w:rsid w:val="00FE100A"/>
    <w:rsid w:val="00FE19D3"/>
    <w:rsid w:val="00FE2153"/>
    <w:rsid w:val="00FE22C9"/>
    <w:rsid w:val="00FE3529"/>
    <w:rsid w:val="00FE39E8"/>
    <w:rsid w:val="00FE4DB0"/>
    <w:rsid w:val="00FE4EF1"/>
    <w:rsid w:val="00FE4F07"/>
    <w:rsid w:val="00FE65E0"/>
    <w:rsid w:val="00FE6C6B"/>
    <w:rsid w:val="00FE6EBB"/>
    <w:rsid w:val="00FE7712"/>
    <w:rsid w:val="00FE77FA"/>
    <w:rsid w:val="00FF0057"/>
    <w:rsid w:val="00FF0407"/>
    <w:rsid w:val="00FF0438"/>
    <w:rsid w:val="00FF084F"/>
    <w:rsid w:val="00FF1014"/>
    <w:rsid w:val="00FF1301"/>
    <w:rsid w:val="00FF15ED"/>
    <w:rsid w:val="00FF177D"/>
    <w:rsid w:val="00FF1C0C"/>
    <w:rsid w:val="00FF2923"/>
    <w:rsid w:val="00FF36E9"/>
    <w:rsid w:val="00FF3A6F"/>
    <w:rsid w:val="00FF3E56"/>
    <w:rsid w:val="00FF3F0C"/>
    <w:rsid w:val="00FF4253"/>
    <w:rsid w:val="00FF47B5"/>
    <w:rsid w:val="00FF55A8"/>
    <w:rsid w:val="00FF7057"/>
    <w:rsid w:val="00FF7313"/>
    <w:rsid w:val="00FF7967"/>
    <w:rsid w:val="00FF7AE9"/>
    <w:rsid w:val="00FF7CD2"/>
    <w:rsid w:val="00FF7D17"/>
    <w:rsid w:val="0B482785"/>
    <w:rsid w:val="0B691F63"/>
    <w:rsid w:val="0D6E1212"/>
    <w:rsid w:val="0FE66303"/>
    <w:rsid w:val="10BE4D77"/>
    <w:rsid w:val="10EC1907"/>
    <w:rsid w:val="14906C3A"/>
    <w:rsid w:val="16F42852"/>
    <w:rsid w:val="188E343C"/>
    <w:rsid w:val="1A7B5474"/>
    <w:rsid w:val="1ADC35FF"/>
    <w:rsid w:val="1B191D40"/>
    <w:rsid w:val="1B5C65F5"/>
    <w:rsid w:val="1C265A13"/>
    <w:rsid w:val="1C7F1365"/>
    <w:rsid w:val="1CA933E3"/>
    <w:rsid w:val="1D6A6B03"/>
    <w:rsid w:val="1F3F717B"/>
    <w:rsid w:val="209D500D"/>
    <w:rsid w:val="22235301"/>
    <w:rsid w:val="23E17E15"/>
    <w:rsid w:val="253A52CB"/>
    <w:rsid w:val="25A90CE3"/>
    <w:rsid w:val="27274349"/>
    <w:rsid w:val="27724569"/>
    <w:rsid w:val="290B2C91"/>
    <w:rsid w:val="29E654F0"/>
    <w:rsid w:val="2A6531F1"/>
    <w:rsid w:val="2ABF567B"/>
    <w:rsid w:val="2BAB6F63"/>
    <w:rsid w:val="31DF24FD"/>
    <w:rsid w:val="326C7DFA"/>
    <w:rsid w:val="32FB6A4B"/>
    <w:rsid w:val="33DD7A61"/>
    <w:rsid w:val="374F1A3A"/>
    <w:rsid w:val="3A705D47"/>
    <w:rsid w:val="3CFF3DE4"/>
    <w:rsid w:val="3D17727C"/>
    <w:rsid w:val="3D882290"/>
    <w:rsid w:val="41D579C9"/>
    <w:rsid w:val="422812DB"/>
    <w:rsid w:val="443B7203"/>
    <w:rsid w:val="482C2BBD"/>
    <w:rsid w:val="4A407664"/>
    <w:rsid w:val="4B125A0B"/>
    <w:rsid w:val="4B9601BB"/>
    <w:rsid w:val="4D344524"/>
    <w:rsid w:val="50653F8C"/>
    <w:rsid w:val="514B200D"/>
    <w:rsid w:val="527F14F2"/>
    <w:rsid w:val="53883D59"/>
    <w:rsid w:val="547074EC"/>
    <w:rsid w:val="55604164"/>
    <w:rsid w:val="56A13769"/>
    <w:rsid w:val="5716281C"/>
    <w:rsid w:val="5B5762AD"/>
    <w:rsid w:val="5C1B33EE"/>
    <w:rsid w:val="5D724A14"/>
    <w:rsid w:val="5D7A771F"/>
    <w:rsid w:val="5F8E6862"/>
    <w:rsid w:val="601A76B8"/>
    <w:rsid w:val="641E02C5"/>
    <w:rsid w:val="664B69E6"/>
    <w:rsid w:val="67047F89"/>
    <w:rsid w:val="6A3736DB"/>
    <w:rsid w:val="6C7A1A1D"/>
    <w:rsid w:val="729F35A7"/>
    <w:rsid w:val="73244E07"/>
    <w:rsid w:val="751A3573"/>
    <w:rsid w:val="75546EDC"/>
    <w:rsid w:val="75E94623"/>
    <w:rsid w:val="763517A8"/>
    <w:rsid w:val="794A7246"/>
    <w:rsid w:val="7C3C2CCD"/>
    <w:rsid w:val="7D2B29B8"/>
    <w:rsid w:val="7DCE79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1"/>
    <w:semiHidden/>
    <w:unhideWhenUsed/>
    <w:qFormat/>
    <w:uiPriority w:val="9"/>
    <w:pPr>
      <w:keepNext/>
      <w:keepLines/>
      <w:spacing w:before="260" w:after="260" w:line="416" w:lineRule="auto"/>
      <w:outlineLvl w:val="2"/>
    </w:pPr>
    <w:rPr>
      <w:b/>
      <w:bCs/>
      <w:sz w:val="32"/>
      <w:szCs w:val="32"/>
    </w:rPr>
  </w:style>
  <w:style w:type="character" w:default="1" w:styleId="14">
    <w:name w:val="Default Paragraph Font"/>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29"/>
    <w:semiHidden/>
    <w:unhideWhenUsed/>
    <w:qFormat/>
    <w:uiPriority w:val="99"/>
    <w:pPr>
      <w:jc w:val="left"/>
    </w:pPr>
  </w:style>
  <w:style w:type="paragraph" w:styleId="6">
    <w:name w:val="Balloon Text"/>
    <w:basedOn w:val="1"/>
    <w:link w:val="27"/>
    <w:semiHidden/>
    <w:unhideWhenUsed/>
    <w:qFormat/>
    <w:uiPriority w:val="99"/>
    <w:rPr>
      <w:sz w:val="18"/>
      <w:szCs w:val="18"/>
    </w:rPr>
  </w:style>
  <w:style w:type="paragraph" w:styleId="7">
    <w:name w:val="footer"/>
    <w:basedOn w:val="1"/>
    <w:link w:val="21"/>
    <w:unhideWhenUsed/>
    <w:qFormat/>
    <w:uiPriority w:val="99"/>
    <w:pPr>
      <w:tabs>
        <w:tab w:val="center" w:pos="4153"/>
        <w:tab w:val="right" w:pos="8306"/>
      </w:tabs>
      <w:snapToGrid w:val="0"/>
      <w:jc w:val="left"/>
    </w:pPr>
    <w:rPr>
      <w:sz w:val="18"/>
      <w:szCs w:val="18"/>
    </w:rPr>
  </w:style>
  <w:style w:type="paragraph" w:styleId="8">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footnote text"/>
    <w:basedOn w:val="1"/>
    <w:link w:val="19"/>
    <w:unhideWhenUsed/>
    <w:qFormat/>
    <w:uiPriority w:val="99"/>
    <w:pPr>
      <w:snapToGrid w:val="0"/>
      <w:jc w:val="left"/>
    </w:pPr>
    <w:rPr>
      <w:sz w:val="18"/>
      <w:szCs w:val="18"/>
    </w:rPr>
  </w:style>
  <w:style w:type="paragraph" w:styleId="10">
    <w:name w:val="Normal (Web)"/>
    <w:basedOn w:val="1"/>
    <w:semiHidden/>
    <w:unhideWhenUsed/>
    <w:qFormat/>
    <w:uiPriority w:val="99"/>
    <w:rPr>
      <w:rFonts w:ascii="Times New Roman" w:hAnsi="Times New Roman" w:cs="Times New Roman"/>
      <w:sz w:val="24"/>
      <w:szCs w:val="24"/>
    </w:rPr>
  </w:style>
  <w:style w:type="paragraph" w:styleId="11">
    <w:name w:val="annotation subject"/>
    <w:basedOn w:val="5"/>
    <w:next w:val="5"/>
    <w:link w:val="30"/>
    <w:semiHidden/>
    <w:unhideWhenUsed/>
    <w:qFormat/>
    <w:uiPriority w:val="99"/>
    <w:rPr>
      <w:b/>
      <w:bCs/>
    </w:rPr>
  </w:style>
  <w:style w:type="table" w:styleId="13">
    <w:name w:val="Table Grid"/>
    <w:basedOn w:val="1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FollowedHyperlink"/>
    <w:basedOn w:val="14"/>
    <w:semiHidden/>
    <w:unhideWhenUsed/>
    <w:qFormat/>
    <w:uiPriority w:val="99"/>
    <w:rPr>
      <w:color w:val="800080" w:themeColor="followedHyperlink"/>
      <w:u w:val="single"/>
      <w14:textFill>
        <w14:solidFill>
          <w14:schemeClr w14:val="folHlink"/>
        </w14:solidFill>
      </w14:textFill>
    </w:rPr>
  </w:style>
  <w:style w:type="character" w:styleId="16">
    <w:name w:val="Hyperlink"/>
    <w:basedOn w:val="14"/>
    <w:unhideWhenUsed/>
    <w:qFormat/>
    <w:uiPriority w:val="99"/>
    <w:rPr>
      <w:color w:val="0000FF"/>
      <w:u w:val="single"/>
    </w:rPr>
  </w:style>
  <w:style w:type="character" w:styleId="17">
    <w:name w:val="annotation reference"/>
    <w:basedOn w:val="14"/>
    <w:semiHidden/>
    <w:unhideWhenUsed/>
    <w:qFormat/>
    <w:uiPriority w:val="99"/>
    <w:rPr>
      <w:sz w:val="21"/>
      <w:szCs w:val="21"/>
    </w:rPr>
  </w:style>
  <w:style w:type="character" w:styleId="18">
    <w:name w:val="footnote reference"/>
    <w:basedOn w:val="14"/>
    <w:unhideWhenUsed/>
    <w:qFormat/>
    <w:uiPriority w:val="99"/>
    <w:rPr>
      <w:vertAlign w:val="superscript"/>
    </w:rPr>
  </w:style>
  <w:style w:type="character" w:customStyle="1" w:styleId="19">
    <w:name w:val="脚注文本 Char"/>
    <w:basedOn w:val="14"/>
    <w:link w:val="9"/>
    <w:qFormat/>
    <w:uiPriority w:val="99"/>
    <w:rPr>
      <w:sz w:val="18"/>
      <w:szCs w:val="18"/>
    </w:rPr>
  </w:style>
  <w:style w:type="character" w:customStyle="1" w:styleId="20">
    <w:name w:val="页眉 Char"/>
    <w:basedOn w:val="14"/>
    <w:link w:val="8"/>
    <w:qFormat/>
    <w:uiPriority w:val="99"/>
    <w:rPr>
      <w:sz w:val="18"/>
      <w:szCs w:val="18"/>
    </w:rPr>
  </w:style>
  <w:style w:type="character" w:customStyle="1" w:styleId="21">
    <w:name w:val="页脚 Char"/>
    <w:basedOn w:val="14"/>
    <w:link w:val="7"/>
    <w:qFormat/>
    <w:uiPriority w:val="99"/>
    <w:rPr>
      <w:sz w:val="18"/>
      <w:szCs w:val="18"/>
    </w:rPr>
  </w:style>
  <w:style w:type="paragraph" w:styleId="22">
    <w:name w:val="List Paragraph"/>
    <w:basedOn w:val="1"/>
    <w:qFormat/>
    <w:uiPriority w:val="34"/>
    <w:pPr>
      <w:ind w:firstLine="420" w:firstLineChars="200"/>
    </w:pPr>
  </w:style>
  <w:style w:type="table" w:customStyle="1" w:styleId="23">
    <w:name w:val="网格型1"/>
    <w:basedOn w:val="12"/>
    <w:qFormat/>
    <w:uiPriority w:val="59"/>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
    <w:name w:val="网格型2"/>
    <w:basedOn w:val="12"/>
    <w:qFormat/>
    <w:uiPriority w:val="59"/>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25">
    <w:name w:val="标题 1 Char"/>
    <w:basedOn w:val="14"/>
    <w:link w:val="2"/>
    <w:qFormat/>
    <w:uiPriority w:val="9"/>
    <w:rPr>
      <w:b/>
      <w:bCs/>
      <w:kern w:val="44"/>
      <w:sz w:val="44"/>
      <w:szCs w:val="44"/>
    </w:rPr>
  </w:style>
  <w:style w:type="character" w:customStyle="1" w:styleId="26">
    <w:name w:val="标题 2 Char"/>
    <w:basedOn w:val="14"/>
    <w:link w:val="3"/>
    <w:qFormat/>
    <w:uiPriority w:val="9"/>
    <w:rPr>
      <w:rFonts w:asciiTheme="majorHAnsi" w:hAnsiTheme="majorHAnsi" w:eastAsiaTheme="majorEastAsia" w:cstheme="majorBidi"/>
      <w:b/>
      <w:bCs/>
      <w:sz w:val="32"/>
      <w:szCs w:val="32"/>
    </w:rPr>
  </w:style>
  <w:style w:type="character" w:customStyle="1" w:styleId="27">
    <w:name w:val="批注框文本 Char"/>
    <w:basedOn w:val="14"/>
    <w:link w:val="6"/>
    <w:semiHidden/>
    <w:qFormat/>
    <w:uiPriority w:val="99"/>
    <w:rPr>
      <w:kern w:val="2"/>
      <w:sz w:val="18"/>
      <w:szCs w:val="18"/>
    </w:rPr>
  </w:style>
  <w:style w:type="table" w:customStyle="1" w:styleId="28">
    <w:name w:val="网格型3"/>
    <w:basedOn w:val="12"/>
    <w:qFormat/>
    <w:uiPriority w:val="59"/>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29">
    <w:name w:val="批注文字 Char"/>
    <w:basedOn w:val="14"/>
    <w:link w:val="5"/>
    <w:semiHidden/>
    <w:qFormat/>
    <w:uiPriority w:val="99"/>
    <w:rPr>
      <w:kern w:val="2"/>
      <w:sz w:val="21"/>
      <w:szCs w:val="22"/>
    </w:rPr>
  </w:style>
  <w:style w:type="character" w:customStyle="1" w:styleId="30">
    <w:name w:val="批注主题 Char"/>
    <w:basedOn w:val="29"/>
    <w:link w:val="11"/>
    <w:semiHidden/>
    <w:qFormat/>
    <w:uiPriority w:val="99"/>
    <w:rPr>
      <w:b/>
      <w:bCs/>
      <w:kern w:val="2"/>
      <w:sz w:val="21"/>
      <w:szCs w:val="22"/>
    </w:rPr>
  </w:style>
  <w:style w:type="character" w:customStyle="1" w:styleId="31">
    <w:name w:val="标题 3 Char"/>
    <w:basedOn w:val="14"/>
    <w:link w:val="4"/>
    <w:semiHidden/>
    <w:qFormat/>
    <w:uiPriority w:val="9"/>
    <w:rPr>
      <w:b/>
      <w:bCs/>
      <w:kern w:val="2"/>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B29FDCD-74C3-4F8F-8176-6B0F1CD621C7}">
  <ds:schemaRefs/>
</ds:datastoreItem>
</file>

<file path=docProps/app.xml><?xml version="1.0" encoding="utf-8"?>
<Properties xmlns="http://schemas.openxmlformats.org/officeDocument/2006/extended-properties" xmlns:vt="http://schemas.openxmlformats.org/officeDocument/2006/docPropsVTypes">
  <Template>Normal.dotm</Template>
  <Pages>12</Pages>
  <Words>1359</Words>
  <Characters>7747</Characters>
  <Lines>64</Lines>
  <Paragraphs>18</Paragraphs>
  <TotalTime>13</TotalTime>
  <ScaleCrop>false</ScaleCrop>
  <LinksUpToDate>false</LinksUpToDate>
  <CharactersWithSpaces>9088</CharactersWithSpaces>
  <Application>WPS Office_11.1.0.11372_F1E327BC-269C-435d-A152-05C5408002CA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2019-11-25T17:56:00Z</dcterms:created>
  <dc:creator>汪景涛</dc:creator>
  <cp:lastModifiedBy>扶我起来</cp:lastModifiedBy>
  <dcterms:modified xsi:type="dcterms:W3CDTF">2022-06-09T08:14:31Z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2052-11.1.0.11372</vt:lpwstr>
  </property>
  <property fmtid="{D5CDD505-2E9C-101B-9397-08002B2CF9AE}" pid="3" name="KSORubyTemplateID">
    <vt:lpwstr>6</vt:lpwstr>
  </property>
  <property fmtid="{D5CDD505-2E9C-101B-9397-08002B2CF9AE}" pid="4" name="ICV">
    <vt:lpwstr>8FBBBB37DFBF4118ADDAD3CB8D159FC3</vt:lpwstr>
  </property>
  <property fmtid="{D5CDD505-2E9C-101B-9397-08002B2CF9AE}" pid="5" name="CWM7b4970f0810b11f1800041aa000041aa">
    <vt:lpwstr>CWMJMP8/K8q72gGxiylTDsUaTuMOnVs7qQ6P2v2ekDQzZoKAeXLW2hwnK5yqji83opBpR6JSizdduiudSnOX4CB+w==</vt:lpwstr>
  </property>
  <property fmtid="{D5CDD505-2E9C-101B-9397-08002B2CF9AE}" pid="6" name="fileWhereFroms">
    <vt:lpwstr>PpjeLB1gRN0lwrPqMaCTkvjuqMmb+ZsOIJ0Ns6zks5WZkJvUKbOn5wEK7u6LzonF08gdphIo0ygNyViV5C0LTlNzRxPAMG5xPZu7uC7bv0uL1Kex5PfDuKQOg5o6epURLaTi0LjsmSIJaFWi9SmBj4BXPt/KUhOY4m5mv1+wFS/WQT5dAwbNsvvFcRmZ1+E9bxVCuTHedtfAlWHpHh6zsU/7YyfdpTFxzKfC6fats9RhmuYDr5NH8EL5iEjk0A8DdeNKsIMgyuefMBeA+jyqHg==</vt:lpwstr>
  </property>
</Properties>
</file>