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C83F0">
      <w:pPr>
        <w:adjustRightInd w:val="0"/>
        <w:snapToGrid w:val="0"/>
        <w:spacing w:line="360" w:lineRule="auto"/>
        <w:ind w:firstLine="602" w:firstLineChars="200"/>
        <w:jc w:val="center"/>
        <w:rPr>
          <w:rFonts w:hint="eastAsia" w:ascii="仿宋" w:hAnsi="仿宋" w:eastAsia="仿宋" w:cs="仿宋"/>
          <w:b/>
          <w:bCs/>
          <w:sz w:val="30"/>
          <w:szCs w:val="30"/>
        </w:rPr>
      </w:pPr>
      <w:r>
        <w:rPr>
          <w:rFonts w:ascii="仿宋" w:hAnsi="仿宋" w:eastAsia="仿宋" w:cs="仿宋"/>
          <w:b/>
          <w:bCs/>
          <w:sz w:val="30"/>
          <w:szCs w:val="30"/>
        </w:rPr>
        <w:t>孟加拉国公路项目分包合规与合同审查案例</w:t>
      </w:r>
    </w:p>
    <w:p w14:paraId="57C6BE10">
      <w:pPr>
        <w:adjustRightInd w:val="0"/>
        <w:snapToGrid w:val="0"/>
        <w:spacing w:line="360" w:lineRule="auto"/>
        <w:ind w:firstLine="600" w:firstLineChars="200"/>
        <w:jc w:val="center"/>
        <w:rPr>
          <w:rFonts w:hint="eastAsia" w:ascii="仿宋" w:hAnsi="仿宋" w:eastAsia="仿宋" w:cs="仿宋"/>
          <w:sz w:val="30"/>
          <w:szCs w:val="30"/>
        </w:rPr>
      </w:pPr>
      <w:r>
        <w:rPr>
          <w:rFonts w:hint="eastAsia" w:ascii="仿宋" w:hAnsi="仿宋" w:eastAsia="仿宋" w:cs="仿宋"/>
          <w:sz w:val="30"/>
          <w:szCs w:val="30"/>
        </w:rPr>
        <w:t>所在单位：广东华商（上海）律师事务所）</w:t>
      </w:r>
    </w:p>
    <w:p w14:paraId="3820E2CE">
      <w:pPr>
        <w:adjustRightInd w:val="0"/>
        <w:snapToGrid w:val="0"/>
        <w:spacing w:line="360" w:lineRule="auto"/>
        <w:ind w:firstLine="600" w:firstLineChars="200"/>
        <w:jc w:val="center"/>
        <w:rPr>
          <w:rFonts w:hint="eastAsia" w:ascii="仿宋" w:hAnsi="仿宋" w:eastAsia="仿宋" w:cs="仿宋"/>
          <w:sz w:val="30"/>
          <w:szCs w:val="30"/>
        </w:rPr>
      </w:pPr>
      <w:r>
        <w:rPr>
          <w:rFonts w:hint="eastAsia" w:ascii="仿宋" w:hAnsi="仿宋" w:eastAsia="仿宋" w:cs="仿宋"/>
          <w:sz w:val="30"/>
          <w:szCs w:val="30"/>
        </w:rPr>
        <w:t>作者：汤宇、木笑瑞</w:t>
      </w:r>
    </w:p>
    <w:p w14:paraId="607A55DC">
      <w:pPr>
        <w:adjustRightInd w:val="0"/>
        <w:snapToGrid w:val="0"/>
        <w:spacing w:line="360" w:lineRule="auto"/>
        <w:ind w:firstLine="602" w:firstLineChars="200"/>
        <w:jc w:val="center"/>
        <w:rPr>
          <w:rFonts w:ascii="仿宋" w:hAnsi="仿宋" w:eastAsia="仿宋" w:cs="仿宋"/>
          <w:b/>
          <w:bCs/>
          <w:sz w:val="30"/>
          <w:szCs w:val="30"/>
        </w:rPr>
      </w:pPr>
    </w:p>
    <w:p w14:paraId="211D55FF">
      <w:pPr>
        <w:numPr>
          <w:ilvl w:val="0"/>
          <w:numId w:val="1"/>
        </w:numPr>
        <w:adjustRightInd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案例导读</w:t>
      </w:r>
    </w:p>
    <w:p w14:paraId="2E2FB3A4">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关键词：一带一路、公共采购法、分包禁止、FIDIC条款</w:t>
      </w:r>
    </w:p>
    <w:p w14:paraId="0338FC6C">
      <w:pPr>
        <w:adjustRightInd w:val="0"/>
        <w:snapToGrid w:val="0"/>
        <w:spacing w:line="360" w:lineRule="auto"/>
        <w:ind w:firstLine="600" w:firstLineChars="200"/>
        <w:rPr>
          <w:rFonts w:hint="eastAsia" w:ascii="仿宋" w:hAnsi="仿宋" w:eastAsia="仿宋" w:cs="仿宋"/>
          <w:sz w:val="30"/>
          <w:szCs w:val="30"/>
        </w:rPr>
      </w:pPr>
    </w:p>
    <w:p w14:paraId="340B0B1B">
      <w:pPr>
        <w:numPr>
          <w:ilvl w:val="0"/>
          <w:numId w:val="1"/>
        </w:numPr>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案情背景</w:t>
      </w:r>
    </w:p>
    <w:p w14:paraId="173E1E6D">
      <w:pPr>
        <w:pStyle w:val="34"/>
        <w:spacing w:before="0" w:beforeAutospacing="0" w:after="240" w:afterAutospacing="0"/>
        <w:ind w:firstLine="600" w:firstLineChars="200"/>
        <w:rPr>
          <w:rFonts w:ascii="仿宋" w:hAnsi="仿宋" w:eastAsia="仿宋" w:cs="仿宋"/>
          <w:kern w:val="2"/>
          <w:sz w:val="30"/>
          <w:szCs w:val="30"/>
        </w:rPr>
      </w:pPr>
      <w:r>
        <w:rPr>
          <w:rFonts w:ascii="仿宋" w:hAnsi="仿宋" w:eastAsia="仿宋" w:cs="仿宋"/>
          <w:kern w:val="2"/>
          <w:sz w:val="30"/>
          <w:szCs w:val="30"/>
        </w:rPr>
        <w:t>某交通科技股份有限公司（以下简称“该公司”）是国内交通科技领域的领先企业，长期专注于智能交通系统、高速公路建设与运营管理、桥梁隧道工程技术等核心业务。公司拥有多项自主知识产权和国家级工法，曾参与国内多条高速公路的建设和改造项目，积累了丰富的项目管理经验。近年来，在国家“一带一路”倡议的推动下，该公司积极布局海外市场，先后在东南亚、南亚等多个国家和地区进行了项目考察与前期接洽。</w:t>
      </w:r>
    </w:p>
    <w:p w14:paraId="455CFD55">
      <w:pPr>
        <w:pStyle w:val="34"/>
        <w:spacing w:before="240" w:beforeAutospacing="0" w:after="240" w:afterAutospacing="0"/>
        <w:ind w:firstLine="600" w:firstLineChars="200"/>
        <w:rPr>
          <w:rFonts w:ascii="仿宋" w:hAnsi="仿宋" w:eastAsia="仿宋" w:cs="仿宋"/>
          <w:kern w:val="2"/>
          <w:sz w:val="30"/>
          <w:szCs w:val="30"/>
        </w:rPr>
      </w:pPr>
      <w:r>
        <w:rPr>
          <w:rFonts w:ascii="仿宋" w:hAnsi="仿宋" w:eastAsia="仿宋" w:cs="仿宋"/>
          <w:kern w:val="2"/>
          <w:sz w:val="30"/>
          <w:szCs w:val="30"/>
        </w:rPr>
        <w:t>此次，该公司与孟加拉国达卡绕城高速公路开发有限公司达成合作意向，计划对连接首都达卡北部Joydevpur至东部Madanpur的N-105公路现有约48公里双车道路段进行开发和扩建。该公路是达卡都市圈重要的交通干线之一，目前仅为双向两车道，路面老化严重，高峰时段拥堵频发，严重制约了当地经济发展和居民出行。孟加拉国政府已将该项目列为重点基础设施改造工程，希望通过引入国际先进的技术和管理经验，提升道路通行能力，促进沿线经济带发展。</w:t>
      </w:r>
    </w:p>
    <w:p w14:paraId="23FB38AA">
      <w:pPr>
        <w:pStyle w:val="34"/>
        <w:spacing w:before="240" w:beforeAutospacing="0" w:after="240" w:afterAutospacing="0"/>
        <w:ind w:firstLine="600" w:firstLineChars="200"/>
        <w:rPr>
          <w:rFonts w:ascii="仿宋" w:hAnsi="仿宋" w:eastAsia="仿宋" w:cs="仿宋"/>
          <w:kern w:val="2"/>
          <w:sz w:val="30"/>
          <w:szCs w:val="30"/>
        </w:rPr>
      </w:pPr>
      <w:r>
        <w:rPr>
          <w:rFonts w:ascii="仿宋" w:hAnsi="仿宋" w:eastAsia="仿宋" w:cs="仿宋"/>
          <w:kern w:val="2"/>
          <w:sz w:val="30"/>
          <w:szCs w:val="30"/>
        </w:rPr>
        <w:t>该项目采用类似于PPP（公私合作伙伴关系）的合作模式，由孟方提供土地和基础路权，中方负责融资、设计、建设及短期运营维护，最终通过收费或政府付费方式回收投资。由于项目投资规模较大且涉及跨国法律适用、工程标准对接、政府审批流程等多个复杂环节，特别是孟加拉国的法律体系承袭英美法传统，与中国大陆法系存在显著差异，加之当地公共采购法规较为严格，稍有不慎便可能导致合同无效或项目停滞。</w:t>
      </w:r>
    </w:p>
    <w:p w14:paraId="6FA945E2">
      <w:pPr>
        <w:adjustRightInd w:val="0"/>
        <w:snapToGrid w:val="0"/>
        <w:spacing w:line="360" w:lineRule="auto"/>
        <w:ind w:firstLine="600" w:firstLineChars="200"/>
        <w:rPr>
          <w:rFonts w:hint="eastAsia" w:ascii="仿宋" w:hAnsi="仿宋" w:eastAsia="仿宋" w:cs="仿宋"/>
          <w:sz w:val="30"/>
          <w:szCs w:val="30"/>
        </w:rPr>
      </w:pPr>
    </w:p>
    <w:p w14:paraId="7C8C64CF">
      <w:pPr>
        <w:numPr>
          <w:ilvl w:val="0"/>
          <w:numId w:val="1"/>
        </w:numPr>
        <w:adjustRightInd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核心争议焦点及结果（</w:t>
      </w:r>
      <w:r>
        <w:rPr>
          <w:rFonts w:hint="eastAsia" w:ascii="仿宋" w:hAnsi="仿宋" w:eastAsia="仿宋" w:cs="仿宋"/>
          <w:sz w:val="30"/>
          <w:szCs w:val="30"/>
        </w:rPr>
        <w:t>或</w:t>
      </w:r>
      <w:r>
        <w:rPr>
          <w:rFonts w:hint="eastAsia" w:ascii="仿宋" w:hAnsi="仿宋" w:eastAsia="仿宋" w:cs="仿宋"/>
          <w:b/>
          <w:bCs/>
          <w:sz w:val="30"/>
          <w:szCs w:val="30"/>
        </w:rPr>
        <w:t>办理情况及结果）</w:t>
      </w:r>
    </w:p>
    <w:p w14:paraId="182D750E">
      <w:pPr>
        <w:adjustRightInd w:val="0"/>
        <w:snapToGrid w:val="0"/>
        <w:spacing w:line="360" w:lineRule="auto"/>
        <w:ind w:firstLine="600" w:firstLineChars="200"/>
        <w:rPr>
          <w:rFonts w:ascii="仿宋" w:hAnsi="仿宋" w:eastAsia="仿宋" w:cs="仿宋"/>
          <w:sz w:val="30"/>
          <w:szCs w:val="30"/>
        </w:rPr>
      </w:pPr>
      <w:r>
        <w:rPr>
          <w:rFonts w:ascii="仿宋" w:hAnsi="仿宋" w:eastAsia="仿宋" w:cs="仿宋"/>
          <w:sz w:val="30"/>
          <w:szCs w:val="30"/>
        </w:rPr>
        <w:t>在接受该公司委托后，汤宇律师迅速组建了一支由资深涉外律师、南亚法研究专员及项目助理组成的专项工作团队。团队首先对客户提供的项目背景资料、初步合作备忘录、招标文件及拟签署的工程承包合同草案进行了系统梳理，识别出需要重点审查的法律领域。</w:t>
      </w:r>
    </w:p>
    <w:p w14:paraId="367D2FFF">
      <w:p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1. 法律研究阶段</w:t>
      </w:r>
      <w:r>
        <w:rPr>
          <w:rFonts w:ascii="仿宋" w:hAnsi="仿宋" w:eastAsia="仿宋" w:cs="仿宋"/>
          <w:sz w:val="30"/>
          <w:szCs w:val="30"/>
        </w:rPr>
        <w:br w:type="textWrapping"/>
      </w:r>
      <w:r>
        <w:rPr>
          <w:rFonts w:ascii="仿宋" w:hAnsi="仿宋" w:eastAsia="仿宋" w:cs="仿宋"/>
          <w:sz w:val="30"/>
          <w:szCs w:val="30"/>
        </w:rPr>
        <w:t>团队深入研究了孟加拉国与公共采购及工程建设相关的核心法律法规，包括：</w:t>
      </w:r>
    </w:p>
    <w:p w14:paraId="0187FB0D">
      <w:pPr>
        <w:numPr>
          <w:ilvl w:val="0"/>
          <w:numId w:val="2"/>
        </w:num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2006年《公共采购法》</w:t>
      </w:r>
      <w:r>
        <w:rPr>
          <w:rFonts w:ascii="仿宋" w:hAnsi="仿宋" w:eastAsia="仿宋" w:cs="仿宋"/>
          <w:sz w:val="30"/>
          <w:szCs w:val="30"/>
        </w:rPr>
        <w:t>：该法是孟加拉国规范政府及政府机构采购行为的基础性法律，对招标程序、投标人资格、合同授予、异议处理等作出了详细规定。</w:t>
      </w:r>
    </w:p>
    <w:p w14:paraId="5019BD6B">
      <w:pPr>
        <w:numPr>
          <w:ilvl w:val="0"/>
          <w:numId w:val="2"/>
        </w:num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2008年《公共采购规则》</w:t>
      </w:r>
      <w:r>
        <w:rPr>
          <w:rFonts w:ascii="仿宋" w:hAnsi="仿宋" w:eastAsia="仿宋" w:cs="仿宋"/>
          <w:sz w:val="30"/>
          <w:szCs w:val="30"/>
        </w:rPr>
        <w:t>：作为《公共采购法》的实施细则，该规则进一步细化了采购方式、电子采购平台使用、评标标准等内容。</w:t>
      </w:r>
    </w:p>
    <w:p w14:paraId="22DD458A">
      <w:pPr>
        <w:numPr>
          <w:ilvl w:val="0"/>
          <w:numId w:val="2"/>
        </w:num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FIDIC 2010条款</w:t>
      </w:r>
      <w:r>
        <w:rPr>
          <w:rFonts w:ascii="仿宋" w:hAnsi="仿宋" w:eastAsia="仿宋" w:cs="仿宋"/>
          <w:sz w:val="30"/>
          <w:szCs w:val="30"/>
        </w:rPr>
        <w:t>：该项目合同引用了国际咨询工程师联合会（FIDIC）2010年版的红皮书（施工合同条件）。团队对其中关于分包商批准、主承包人责任、缺陷责任期等条款进行了逐条比对，确保其与孟加拉国本地法律不发生冲突。</w:t>
      </w:r>
    </w:p>
    <w:p w14:paraId="76B6D6EC">
      <w:pPr>
        <w:numPr>
          <w:ilvl w:val="0"/>
          <w:numId w:val="2"/>
        </w:num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《合同法》及司法判例</w:t>
      </w:r>
      <w:r>
        <w:rPr>
          <w:rFonts w:ascii="仿宋" w:hAnsi="仿宋" w:eastAsia="仿宋" w:cs="仿宋"/>
          <w:sz w:val="30"/>
          <w:szCs w:val="30"/>
        </w:rPr>
        <w:t>：团队还查阅了孟加拉国《合同法》（1872年）以及达卡高等法院近年来的相关判例，以了解法院对分包合同效力、违约认定及损害赔偿的计算态度。</w:t>
      </w:r>
    </w:p>
    <w:p w14:paraId="3E0EDEA5">
      <w:p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2. 与当地律师协作</w:t>
      </w:r>
      <w:r>
        <w:rPr>
          <w:rFonts w:ascii="仿宋" w:hAnsi="仿宋" w:eastAsia="仿宋" w:cs="仿宋"/>
          <w:sz w:val="30"/>
          <w:szCs w:val="30"/>
        </w:rPr>
        <w:br w:type="textWrapping"/>
      </w:r>
      <w:r>
        <w:rPr>
          <w:rFonts w:ascii="仿宋" w:hAnsi="仿宋" w:eastAsia="仿宋" w:cs="仿宋"/>
          <w:sz w:val="30"/>
          <w:szCs w:val="30"/>
        </w:rPr>
        <w:t>鉴于孟加拉国法律适用中存在大量地方性实践和行政裁量空间，汤宇律师团队与达卡当地一家具有政府项目经验的律所建立了正式合作关系。双方通过多次视频会议和书面备忘录交换，就以下问题达成共识：</w:t>
      </w:r>
    </w:p>
    <w:p w14:paraId="447441A3">
      <w:pPr>
        <w:numPr>
          <w:ilvl w:val="0"/>
          <w:numId w:val="3"/>
        </w:numPr>
        <w:adjustRightInd w:val="0"/>
        <w:snapToGrid w:val="0"/>
        <w:spacing w:line="360" w:lineRule="auto"/>
        <w:ind w:firstLine="600" w:firstLineChars="200"/>
        <w:rPr>
          <w:rFonts w:ascii="仿宋" w:hAnsi="仿宋" w:eastAsia="仿宋" w:cs="仿宋"/>
          <w:sz w:val="30"/>
          <w:szCs w:val="30"/>
        </w:rPr>
      </w:pPr>
      <w:r>
        <w:rPr>
          <w:rFonts w:ascii="仿宋" w:hAnsi="仿宋" w:eastAsia="仿宋" w:cs="仿宋"/>
          <w:sz w:val="30"/>
          <w:szCs w:val="30"/>
        </w:rPr>
        <w:t>孟加拉国道路与公路部（RHD）在2019年发布的一项内部政策通函中明确，凡涉及国际承包商参与的国家级公路项目，严禁以任何形式将全部工程拆分为若干标段后分别转包给多个分包商。</w:t>
      </w:r>
    </w:p>
    <w:p w14:paraId="02D7AC9A">
      <w:pPr>
        <w:numPr>
          <w:ilvl w:val="0"/>
          <w:numId w:val="3"/>
        </w:numPr>
        <w:adjustRightInd w:val="0"/>
        <w:snapToGrid w:val="0"/>
        <w:spacing w:line="360" w:lineRule="auto"/>
        <w:ind w:firstLine="600" w:firstLineChars="200"/>
        <w:rPr>
          <w:rFonts w:ascii="仿宋" w:hAnsi="仿宋" w:eastAsia="仿宋" w:cs="仿宋"/>
          <w:sz w:val="30"/>
          <w:szCs w:val="30"/>
        </w:rPr>
      </w:pPr>
      <w:r>
        <w:rPr>
          <w:rFonts w:ascii="仿宋" w:hAnsi="仿宋" w:eastAsia="仿宋" w:cs="仿宋"/>
          <w:sz w:val="30"/>
          <w:szCs w:val="30"/>
        </w:rPr>
        <w:t>当地招标文件中通常包含“分包事先批准”条款，即主承包人每次拟分包前，均需向业主提交分包商资质文件并获得书面同意。若违反此程序，业主有权终止合同并没收履约保函。</w:t>
      </w:r>
    </w:p>
    <w:p w14:paraId="5AA0F74C">
      <w:p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3. 合同审查与风险识别</w:t>
      </w:r>
      <w:r>
        <w:rPr>
          <w:rFonts w:ascii="仿宋" w:hAnsi="仿宋" w:eastAsia="仿宋" w:cs="仿宋"/>
          <w:sz w:val="30"/>
          <w:szCs w:val="30"/>
        </w:rPr>
        <w:br w:type="textWrapping"/>
      </w:r>
      <w:r>
        <w:rPr>
          <w:rFonts w:ascii="仿宋" w:hAnsi="仿宋" w:eastAsia="仿宋" w:cs="仿宋"/>
          <w:sz w:val="30"/>
          <w:szCs w:val="30"/>
        </w:rPr>
        <w:t>在完成法律研究后，团队对合同草案进行了逐条审查，重点关注了以下条款：</w:t>
      </w:r>
    </w:p>
    <w:p w14:paraId="43DF4F56">
      <w:pPr>
        <w:numPr>
          <w:ilvl w:val="0"/>
          <w:numId w:val="4"/>
        </w:num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分包条款</w:t>
      </w:r>
      <w:r>
        <w:rPr>
          <w:rFonts w:ascii="仿宋" w:hAnsi="仿宋" w:eastAsia="仿宋" w:cs="仿宋"/>
          <w:sz w:val="30"/>
          <w:szCs w:val="30"/>
        </w:rPr>
        <w:t>：原合同草案仅笼统规定“承包人可将部分工程分包给合格分包商”，未设定比例限制或程序要求。</w:t>
      </w:r>
    </w:p>
    <w:p w14:paraId="62F504CA">
      <w:pPr>
        <w:numPr>
          <w:ilvl w:val="0"/>
          <w:numId w:val="4"/>
        </w:num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争议解决条款</w:t>
      </w:r>
      <w:r>
        <w:rPr>
          <w:rFonts w:ascii="仿宋" w:hAnsi="仿宋" w:eastAsia="仿宋" w:cs="仿宋"/>
          <w:sz w:val="30"/>
          <w:szCs w:val="30"/>
        </w:rPr>
        <w:t>：合同约定争议由孟加拉国仲裁庭依据当地仲裁法解决。团队提示客户，建议增加“临时措施”条款，允许在紧急情况下向新加坡国际仲裁中心申请保全。</w:t>
      </w:r>
    </w:p>
    <w:p w14:paraId="4FBB14D7">
      <w:pPr>
        <w:numPr>
          <w:ilvl w:val="0"/>
          <w:numId w:val="4"/>
        </w:num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法律变更条款</w:t>
      </w:r>
      <w:r>
        <w:rPr>
          <w:rFonts w:ascii="仿宋" w:hAnsi="仿宋" w:eastAsia="仿宋" w:cs="仿宋"/>
          <w:sz w:val="30"/>
          <w:szCs w:val="30"/>
        </w:rPr>
        <w:t>：团队建议增加“法律变更补偿”条款，即如果因孟加拉国颁布新法律导致承包成本显著增加，业主应合理分担额外费用。</w:t>
      </w:r>
    </w:p>
    <w:p w14:paraId="0B9F14AD">
      <w:p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4. 方案优化与落地支持</w:t>
      </w:r>
      <w:r>
        <w:rPr>
          <w:rFonts w:ascii="仿宋" w:hAnsi="仿宋" w:eastAsia="仿宋" w:cs="仿宋"/>
          <w:sz w:val="30"/>
          <w:szCs w:val="30"/>
        </w:rPr>
        <w:br w:type="textWrapping"/>
      </w:r>
      <w:r>
        <w:rPr>
          <w:rFonts w:ascii="仿宋" w:hAnsi="仿宋" w:eastAsia="仿宋" w:cs="仿宋"/>
          <w:sz w:val="30"/>
          <w:szCs w:val="30"/>
        </w:rPr>
        <w:t>针对客户最初提出的“将项目分拆为不同区段并分包给多个分包商”的方案，汤宇律师明确指出该方案在孟加拉国现行法律和政策框架下具有较高违法风险。为了在合法合规前提下实现客户的商业目标，团队提出了以下优化建议：</w:t>
      </w:r>
    </w:p>
    <w:p w14:paraId="5B7EC9C9">
      <w:pPr>
        <w:numPr>
          <w:ilvl w:val="0"/>
          <w:numId w:val="5"/>
        </w:num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保留核心施工责任</w:t>
      </w:r>
      <w:r>
        <w:rPr>
          <w:rFonts w:ascii="仿宋" w:hAnsi="仿宋" w:eastAsia="仿宋" w:cs="仿宋"/>
          <w:sz w:val="30"/>
          <w:szCs w:val="30"/>
        </w:rPr>
        <w:t>：客户作为主承包人，必须自行完成项目的主体工程（如路基、路面、桥梁结构等），仅可将非核心或专业性较强的辅助工程（如绿化、交通标志标线、监控设备安装等）分包给不超过3家分包商。</w:t>
      </w:r>
    </w:p>
    <w:p w14:paraId="73A7C1F2">
      <w:pPr>
        <w:numPr>
          <w:ilvl w:val="0"/>
          <w:numId w:val="5"/>
        </w:num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以联合体替代分包</w:t>
      </w:r>
      <w:r>
        <w:rPr>
          <w:rFonts w:ascii="仿宋" w:hAnsi="仿宋" w:eastAsia="仿宋" w:cs="仿宋"/>
          <w:sz w:val="30"/>
          <w:szCs w:val="30"/>
        </w:rPr>
        <w:t>：如果客户希望引入多家合作伙伴共同完成不同区段，可考虑与其中一至两家实力较强的企业组成“联合体”共同投标，以联合体内部职责划分替代分包安排。这样既能实现技术整合，又不触发分包限制条款。</w:t>
      </w:r>
    </w:p>
    <w:p w14:paraId="4D115F73">
      <w:pPr>
        <w:numPr>
          <w:ilvl w:val="0"/>
          <w:numId w:val="5"/>
        </w:numPr>
        <w:adjustRightInd w:val="0"/>
        <w:snapToGrid w:val="0"/>
        <w:spacing w:line="360" w:lineRule="auto"/>
        <w:ind w:firstLine="602" w:firstLineChars="200"/>
        <w:rPr>
          <w:rFonts w:ascii="仿宋" w:hAnsi="仿宋" w:eastAsia="仿宋" w:cs="仿宋"/>
          <w:sz w:val="30"/>
          <w:szCs w:val="30"/>
        </w:rPr>
      </w:pPr>
      <w:r>
        <w:rPr>
          <w:rFonts w:ascii="仿宋" w:hAnsi="仿宋" w:eastAsia="仿宋" w:cs="仿宋"/>
          <w:b/>
          <w:bCs/>
          <w:sz w:val="30"/>
          <w:szCs w:val="30"/>
        </w:rPr>
        <w:t>分阶段实施申请</w:t>
      </w:r>
      <w:r>
        <w:rPr>
          <w:rFonts w:ascii="仿宋" w:hAnsi="仿宋" w:eastAsia="仿宋" w:cs="仿宋"/>
          <w:sz w:val="30"/>
          <w:szCs w:val="30"/>
        </w:rPr>
        <w:t>：团队协助客户起草了致孟加拉国道路与公路部的正式信函，请求对分阶段施工计划进行事先批准。</w:t>
      </w:r>
    </w:p>
    <w:p w14:paraId="0D6D93D6">
      <w:pPr>
        <w:adjustRightInd w:val="0"/>
        <w:snapToGrid w:val="0"/>
        <w:spacing w:line="360" w:lineRule="auto"/>
        <w:ind w:firstLine="600" w:firstLineChars="200"/>
        <w:rPr>
          <w:rFonts w:ascii="仿宋" w:hAnsi="仿宋" w:eastAsia="仿宋" w:cs="仿宋"/>
          <w:sz w:val="30"/>
          <w:szCs w:val="30"/>
        </w:rPr>
      </w:pPr>
      <w:r>
        <w:rPr>
          <w:rFonts w:ascii="仿宋" w:hAnsi="仿宋" w:eastAsia="仿宋" w:cs="仿宋"/>
          <w:sz w:val="30"/>
          <w:szCs w:val="30"/>
        </w:rPr>
        <w:t>在汤宇律师团队的全程参与下，客户与孟方经过三轮谈判，成功将优化后的承包方案写入合同。最终合同顺利签订，客户得以合法有效地启动公路建设项目的承建工作。</w:t>
      </w:r>
    </w:p>
    <w:p w14:paraId="47F235A0">
      <w:pPr>
        <w:adjustRightInd w:val="0"/>
        <w:snapToGrid w:val="0"/>
        <w:spacing w:line="360" w:lineRule="auto"/>
        <w:ind w:firstLine="600" w:firstLineChars="200"/>
        <w:rPr>
          <w:rFonts w:hint="eastAsia" w:ascii="仿宋" w:hAnsi="仿宋" w:eastAsia="仿宋" w:cs="仿宋"/>
          <w:sz w:val="30"/>
          <w:szCs w:val="30"/>
        </w:rPr>
      </w:pPr>
    </w:p>
    <w:p w14:paraId="54444687">
      <w:pPr>
        <w:adjustRightInd w:val="0"/>
        <w:snapToGrid w:val="0"/>
        <w:spacing w:line="360" w:lineRule="auto"/>
        <w:ind w:firstLine="602" w:firstLineChars="200"/>
        <w:rPr>
          <w:rFonts w:ascii="仿宋" w:hAnsi="仿宋" w:eastAsia="仿宋" w:cs="仿宋"/>
          <w:sz w:val="30"/>
          <w:szCs w:val="30"/>
        </w:rPr>
      </w:pPr>
      <w:r>
        <w:rPr>
          <w:rFonts w:hint="eastAsia" w:ascii="仿宋" w:hAnsi="仿宋" w:eastAsia="仿宋" w:cs="仿宋"/>
          <w:b/>
          <w:bCs/>
          <w:sz w:val="30"/>
          <w:szCs w:val="30"/>
        </w:rPr>
        <w:t>四、案例评析</w:t>
      </w:r>
      <w:r>
        <w:rPr>
          <w:rFonts w:hint="eastAsia" w:ascii="仿宋" w:hAnsi="仿宋" w:eastAsia="仿宋" w:cs="仿宋"/>
          <w:sz w:val="30"/>
          <w:szCs w:val="30"/>
        </w:rPr>
        <w:t>（创新性等）</w:t>
      </w:r>
    </w:p>
    <w:p w14:paraId="7FFA326E">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本案的典型性在于它为中资企业在海外PPP项目中的法律合规问题提供了生动的实践案例。复杂性则体现在需同时兼顾国际工程合同惯例、孟加拉国特定法律法规以及政府政策导向等多重因素。</w:t>
      </w:r>
    </w:p>
    <w:p w14:paraId="7A8521D4">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而创新性则在于汤宇律师团队在面对法律与政策障碍时，能够灵活运用专业知识与实战经验，为客户量身定制出既符合当地法律要求又兼顾项目实际需求的解决方案。这一成功案例不仅为某交通科技股份有限公司的国际化进程奠定了坚实的基础，也为其他中资企业“走出去”提供了宝贵的经验与启示。</w:t>
      </w:r>
    </w:p>
    <w:p w14:paraId="78DF9DC0">
      <w:pPr>
        <w:adjustRightInd w:val="0"/>
        <w:snapToGrid w:val="0"/>
        <w:spacing w:line="360" w:lineRule="auto"/>
        <w:ind w:firstLine="600" w:firstLineChars="200"/>
        <w:rPr>
          <w:rFonts w:hint="eastAsia" w:ascii="仿宋" w:hAnsi="仿宋" w:eastAsia="仿宋" w:cs="仿宋"/>
          <w:sz w:val="30"/>
          <w:szCs w:val="30"/>
        </w:rPr>
      </w:pPr>
    </w:p>
    <w:p w14:paraId="46284371">
      <w:pPr>
        <w:adjustRightInd w:val="0"/>
        <w:snapToGrid w:val="0"/>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五、价值和示范作用</w:t>
      </w:r>
      <w:r>
        <w:rPr>
          <w:rFonts w:hint="eastAsia" w:ascii="仿宋" w:hAnsi="仿宋" w:eastAsia="仿宋" w:cs="仿宋"/>
          <w:sz w:val="30"/>
          <w:szCs w:val="30"/>
        </w:rPr>
        <w:t>（对出海企业的启示和风险防范建议）</w:t>
      </w:r>
    </w:p>
    <w:p w14:paraId="049D193A">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案的成功签约与实施，标志着某交通科技股份有限公司在孟加拉国市场迈出了坚实的一步，展现了有效的风险管理的重要性，也强调了深入理解孟加拉国法律环境和商业文化的必要性。汤宇律师团队的杰出表现不仅为客户赢得了宝贵的市场机会，更为中资企业在海外市场的可持续发展树立了典范。</w:t>
      </w:r>
    </w:p>
    <w:p w14:paraId="691872B1">
      <w:pPr>
        <w:adjustRightInd w:val="0"/>
        <w:snapToGrid w:val="0"/>
        <w:spacing w:line="360" w:lineRule="auto"/>
        <w:ind w:firstLine="600" w:firstLineChars="200"/>
        <w:rPr>
          <w:rFonts w:hint="eastAsia" w:ascii="仿宋" w:hAnsi="仿宋" w:eastAsia="仿宋" w:cs="仿宋"/>
          <w:sz w:val="30"/>
          <w:szCs w:val="30"/>
        </w:rPr>
      </w:pPr>
    </w:p>
    <w:p w14:paraId="2A3BC481">
      <w:pPr>
        <w:adjustRightInd w:val="0"/>
        <w:snapToGrid w:val="0"/>
        <w:spacing w:line="360" w:lineRule="auto"/>
        <w:ind w:firstLine="600" w:firstLineChars="200"/>
        <w:rPr>
          <w:rFonts w:hint="eastAsia" w:ascii="仿宋" w:hAnsi="仿宋" w:eastAsia="仿宋" w:cs="仿宋"/>
          <w:sz w:val="30"/>
          <w:szCs w:val="30"/>
        </w:rPr>
      </w:pPr>
    </w:p>
    <w:p w14:paraId="7023A8D4">
      <w:pPr>
        <w:adjustRightInd w:val="0"/>
        <w:snapToGrid w:val="0"/>
        <w:spacing w:line="360" w:lineRule="auto"/>
        <w:ind w:firstLine="600" w:firstLineChars="200"/>
        <w:rPr>
          <w:rFonts w:hint="eastAsia" w:ascii="仿宋" w:hAnsi="仿宋" w:eastAsia="仿宋" w:cs="仿宋"/>
          <w:sz w:val="30"/>
          <w:szCs w:val="30"/>
        </w:rPr>
      </w:pPr>
    </w:p>
    <w:p w14:paraId="7E58B357">
      <w:pPr>
        <w:adjustRightInd w:val="0"/>
        <w:snapToGrid w:val="0"/>
        <w:spacing w:line="360" w:lineRule="auto"/>
        <w:ind w:firstLine="600" w:firstLineChars="200"/>
        <w:rPr>
          <w:rFonts w:hint="eastAsia" w:ascii="仿宋" w:hAnsi="仿宋" w:eastAsia="仿宋" w:cs="仿宋"/>
          <w:sz w:val="30"/>
          <w:szCs w:val="30"/>
        </w:rPr>
      </w:pPr>
    </w:p>
    <w:p w14:paraId="55695D2F">
      <w:pPr>
        <w:adjustRightInd w:val="0"/>
        <w:snapToGrid w:val="0"/>
        <w:spacing w:line="360" w:lineRule="auto"/>
        <w:ind w:firstLine="600" w:firstLineChars="200"/>
        <w:rPr>
          <w:rFonts w:hint="eastAsia" w:ascii="仿宋" w:hAnsi="仿宋" w:eastAsia="仿宋" w:cs="仿宋"/>
          <w:sz w:val="30"/>
          <w:szCs w:val="30"/>
        </w:rPr>
      </w:pPr>
    </w:p>
    <w:p w14:paraId="20C0EEA7">
      <w:pPr>
        <w:adjustRightInd w:val="0"/>
        <w:snapToGrid w:val="0"/>
        <w:spacing w:line="360" w:lineRule="auto"/>
        <w:ind w:firstLine="600" w:firstLineChars="200"/>
        <w:rPr>
          <w:rFonts w:hint="eastAsia" w:ascii="仿宋" w:hAnsi="仿宋" w:eastAsia="仿宋" w:cs="仿宋"/>
          <w:sz w:val="30"/>
          <w:szCs w:val="30"/>
        </w:rPr>
      </w:pPr>
    </w:p>
    <w:p w14:paraId="1903B879">
      <w:pPr>
        <w:adjustRightInd w:val="0"/>
        <w:snapToGrid w:val="0"/>
        <w:spacing w:line="360" w:lineRule="auto"/>
        <w:ind w:firstLine="600" w:firstLineChars="200"/>
        <w:rPr>
          <w:rFonts w:hint="eastAsia" w:ascii="仿宋" w:hAnsi="仿宋" w:eastAsia="仿宋" w:cs="仿宋"/>
          <w:sz w:val="30"/>
          <w:szCs w:val="30"/>
        </w:rPr>
      </w:pPr>
    </w:p>
    <w:p w14:paraId="279B68CD">
      <w:pPr>
        <w:adjustRightInd w:val="0"/>
        <w:snapToGrid w:val="0"/>
        <w:spacing w:line="360" w:lineRule="auto"/>
        <w:ind w:firstLine="600" w:firstLineChars="200"/>
        <w:rPr>
          <w:rFonts w:hint="eastAsia" w:ascii="仿宋" w:hAnsi="仿宋" w:eastAsia="仿宋" w:cs="仿宋"/>
          <w:sz w:val="30"/>
          <w:szCs w:val="30"/>
        </w:rPr>
      </w:pPr>
    </w:p>
    <w:p w14:paraId="09FB7282">
      <w:pPr>
        <w:adjustRightInd w:val="0"/>
        <w:snapToGrid w:val="0"/>
        <w:spacing w:line="360" w:lineRule="auto"/>
        <w:ind w:firstLine="600" w:firstLineChars="200"/>
        <w:rPr>
          <w:rFonts w:hint="eastAsia" w:ascii="仿宋" w:hAnsi="仿宋" w:eastAsia="仿宋" w:cs="仿宋"/>
          <w:sz w:val="30"/>
          <w:szCs w:val="30"/>
        </w:rPr>
      </w:pPr>
    </w:p>
    <w:p w14:paraId="3A083130">
      <w:pPr>
        <w:adjustRightInd w:val="0"/>
        <w:snapToGrid w:val="0"/>
        <w:spacing w:line="360" w:lineRule="auto"/>
        <w:ind w:firstLine="600" w:firstLineChars="200"/>
        <w:rPr>
          <w:rFonts w:hint="eastAsia" w:ascii="仿宋" w:hAnsi="仿宋" w:eastAsia="仿宋" w:cs="仿宋"/>
          <w:sz w:val="30"/>
          <w:szCs w:val="30"/>
        </w:rPr>
      </w:pPr>
    </w:p>
    <w:p w14:paraId="333E39C2">
      <w:pPr>
        <w:adjustRightInd w:val="0"/>
        <w:snapToGrid w:val="0"/>
        <w:spacing w:line="360" w:lineRule="auto"/>
        <w:ind w:firstLine="600" w:firstLineChars="200"/>
        <w:rPr>
          <w:rFonts w:hint="eastAsia" w:ascii="仿宋" w:hAnsi="仿宋" w:eastAsia="仿宋" w:cs="仿宋"/>
          <w:sz w:val="30"/>
          <w:szCs w:val="30"/>
        </w:rPr>
      </w:pPr>
    </w:p>
    <w:p w14:paraId="4D789FDB">
      <w:pPr>
        <w:adjustRightInd w:val="0"/>
        <w:snapToGrid w:val="0"/>
        <w:spacing w:line="360" w:lineRule="auto"/>
        <w:ind w:firstLine="600" w:firstLineChars="200"/>
        <w:rPr>
          <w:rFonts w:hint="eastAsia" w:ascii="仿宋" w:hAnsi="仿宋" w:eastAsia="仿宋" w:cs="仿宋"/>
          <w:sz w:val="30"/>
          <w:szCs w:val="30"/>
        </w:rPr>
      </w:pPr>
    </w:p>
    <w:p w14:paraId="114BCB0D">
      <w:pPr>
        <w:adjustRightInd w:val="0"/>
        <w:snapToGrid w:val="0"/>
        <w:spacing w:line="360" w:lineRule="auto"/>
        <w:ind w:firstLine="600" w:firstLineChars="200"/>
        <w:rPr>
          <w:rFonts w:hint="eastAsia" w:ascii="仿宋" w:hAnsi="仿宋" w:eastAsia="仿宋" w:cs="仿宋"/>
          <w:sz w:val="30"/>
          <w:szCs w:val="30"/>
        </w:rPr>
      </w:pPr>
    </w:p>
    <w:p w14:paraId="676DA798">
      <w:pPr>
        <w:adjustRightInd w:val="0"/>
        <w:snapToGrid w:val="0"/>
        <w:spacing w:line="360" w:lineRule="auto"/>
        <w:ind w:firstLine="600" w:firstLineChars="200"/>
        <w:rPr>
          <w:rFonts w:hint="eastAsia" w:ascii="仿宋" w:hAnsi="仿宋" w:eastAsia="仿宋" w:cs="仿宋"/>
          <w:sz w:val="30"/>
          <w:szCs w:val="30"/>
        </w:rPr>
      </w:pPr>
    </w:p>
    <w:p w14:paraId="38B98AFF">
      <w:pPr>
        <w:adjustRightInd w:val="0"/>
        <w:snapToGrid w:val="0"/>
        <w:spacing w:line="360" w:lineRule="auto"/>
        <w:ind w:firstLine="600" w:firstLineChars="200"/>
        <w:rPr>
          <w:rFonts w:hint="eastAsia" w:ascii="仿宋" w:hAnsi="仿宋" w:eastAsia="仿宋" w:cs="仿宋"/>
          <w:sz w:val="30"/>
          <w:szCs w:val="30"/>
        </w:rPr>
      </w:pPr>
    </w:p>
    <w:p w14:paraId="48071FCE">
      <w:pPr>
        <w:adjustRightInd w:val="0"/>
        <w:snapToGrid w:val="0"/>
        <w:spacing w:line="360" w:lineRule="auto"/>
        <w:ind w:firstLine="600" w:firstLineChars="200"/>
        <w:rPr>
          <w:rFonts w:hint="eastAsia" w:ascii="仿宋" w:hAnsi="仿宋" w:eastAsia="仿宋" w:cs="仿宋"/>
          <w:sz w:val="30"/>
          <w:szCs w:val="30"/>
        </w:rPr>
      </w:pPr>
    </w:p>
    <w:p w14:paraId="22A3D66F">
      <w:pPr>
        <w:adjustRightInd w:val="0"/>
        <w:snapToGrid w:val="0"/>
        <w:spacing w:line="360" w:lineRule="auto"/>
        <w:ind w:firstLine="600" w:firstLineChars="200"/>
        <w:rPr>
          <w:rFonts w:hint="eastAsia" w:ascii="仿宋" w:hAnsi="仿宋" w:eastAsia="仿宋" w:cs="仿宋"/>
          <w:sz w:val="30"/>
          <w:szCs w:val="30"/>
        </w:rPr>
      </w:pPr>
    </w:p>
    <w:p w14:paraId="5B9B7D32">
      <w:pPr>
        <w:adjustRightInd w:val="0"/>
        <w:snapToGrid w:val="0"/>
        <w:spacing w:line="360" w:lineRule="auto"/>
        <w:ind w:firstLine="600" w:firstLineChars="200"/>
        <w:rPr>
          <w:rFonts w:hint="eastAsia" w:ascii="仿宋" w:hAnsi="仿宋" w:eastAsia="仿宋" w:cs="仿宋"/>
          <w:sz w:val="30"/>
          <w:szCs w:val="30"/>
        </w:rPr>
      </w:pPr>
    </w:p>
    <w:p w14:paraId="686B2387">
      <w:pPr>
        <w:adjustRightInd w:val="0"/>
        <w:snapToGrid w:val="0"/>
        <w:spacing w:line="360" w:lineRule="auto"/>
        <w:ind w:firstLine="600" w:firstLineChars="200"/>
        <w:rPr>
          <w:rFonts w:hint="eastAsia" w:ascii="仿宋" w:hAnsi="仿宋" w:eastAsia="仿宋" w:cs="仿宋"/>
          <w:sz w:val="30"/>
          <w:szCs w:val="30"/>
        </w:rPr>
      </w:pPr>
    </w:p>
    <w:p w14:paraId="2329CC85">
      <w:pPr>
        <w:adjustRightInd w:val="0"/>
        <w:snapToGrid w:val="0"/>
        <w:spacing w:line="360" w:lineRule="auto"/>
        <w:ind w:firstLine="600" w:firstLineChars="200"/>
        <w:rPr>
          <w:rFonts w:hint="eastAsia" w:ascii="仿宋" w:hAnsi="仿宋" w:eastAsia="仿宋" w:cs="仿宋"/>
          <w:sz w:val="30"/>
          <w:szCs w:val="30"/>
        </w:rPr>
      </w:pPr>
    </w:p>
    <w:p w14:paraId="45955338">
      <w:pPr>
        <w:adjustRightInd w:val="0"/>
        <w:snapToGrid w:val="0"/>
        <w:spacing w:line="360" w:lineRule="auto"/>
        <w:ind w:firstLine="600" w:firstLineChars="200"/>
        <w:rPr>
          <w:rFonts w:hint="eastAsia" w:ascii="仿宋" w:hAnsi="仿宋" w:eastAsia="仿宋" w:cs="仿宋"/>
          <w:sz w:val="30"/>
          <w:szCs w:val="30"/>
        </w:rPr>
      </w:pPr>
    </w:p>
    <w:p w14:paraId="6CBEB983">
      <w:pPr>
        <w:adjustRightInd w:val="0"/>
        <w:snapToGrid w:val="0"/>
        <w:spacing w:line="360" w:lineRule="auto"/>
        <w:ind w:firstLine="600" w:firstLineChars="200"/>
        <w:rPr>
          <w:rFonts w:hint="eastAsia" w:ascii="仿宋" w:hAnsi="仿宋" w:eastAsia="仿宋" w:cs="仿宋"/>
          <w:sz w:val="30"/>
          <w:szCs w:val="30"/>
        </w:rPr>
      </w:pPr>
    </w:p>
    <w:p w14:paraId="53DBAF5B">
      <w:pPr>
        <w:adjustRightInd w:val="0"/>
        <w:snapToGrid w:val="0"/>
        <w:spacing w:line="360" w:lineRule="auto"/>
        <w:jc w:val="center"/>
        <w:rPr>
          <w:rFonts w:hint="eastAsia" w:ascii="宋体" w:hAnsi="宋体" w:cs="宋体"/>
          <w:b/>
          <w:bCs/>
          <w:sz w:val="32"/>
          <w:szCs w:val="32"/>
        </w:rPr>
      </w:pPr>
      <w:bookmarkStart w:id="0" w:name="OLE_LINK18"/>
      <w:r>
        <w:rPr>
          <w:rFonts w:hint="eastAsia" w:ascii="宋体" w:hAnsi="宋体" w:cs="宋体"/>
          <w:b/>
          <w:bCs/>
          <w:sz w:val="32"/>
          <w:szCs w:val="32"/>
        </w:rPr>
        <w:t>法律服务产品申报模板</w:t>
      </w:r>
      <w:bookmarkEnd w:id="0"/>
    </w:p>
    <w:tbl>
      <w:tblPr>
        <w:tblStyle w:val="14"/>
        <w:tblW w:w="48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174"/>
        <w:gridCol w:w="6727"/>
      </w:tblGrid>
      <w:tr w14:paraId="378C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11" w:type="dxa"/>
            <w:gridSpan w:val="2"/>
            <w:tcBorders>
              <w:top w:val="single" w:color="auto" w:sz="4" w:space="0"/>
              <w:left w:val="single" w:color="auto" w:sz="4" w:space="0"/>
              <w:bottom w:val="single" w:color="auto" w:sz="4" w:space="0"/>
              <w:right w:val="single" w:color="auto" w:sz="4" w:space="0"/>
            </w:tcBorders>
            <w:noWrap w:val="0"/>
            <w:vAlign w:val="center"/>
          </w:tcPr>
          <w:p w14:paraId="4B65AFB3">
            <w:pPr>
              <w:spacing w:line="360" w:lineRule="auto"/>
              <w:jc w:val="center"/>
              <w:rPr>
                <w:rFonts w:hint="eastAsia" w:ascii="华文仿宋" w:hAnsi="华文仿宋" w:eastAsia="华文仿宋"/>
                <w:szCs w:val="21"/>
              </w:rPr>
            </w:pPr>
            <w:r>
              <w:rPr>
                <w:rFonts w:hint="eastAsia" w:ascii="华文仿宋" w:hAnsi="华文仿宋" w:eastAsia="华文仿宋"/>
                <w:szCs w:val="21"/>
              </w:rPr>
              <w:t>律所名称</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4F512F59">
            <w:pPr>
              <w:spacing w:line="360" w:lineRule="auto"/>
              <w:rPr>
                <w:rFonts w:hint="eastAsia" w:ascii="华文仿宋" w:hAnsi="华文仿宋" w:eastAsia="华文仿宋"/>
                <w:szCs w:val="21"/>
              </w:rPr>
            </w:pPr>
            <w:r>
              <w:rPr>
                <w:rFonts w:hint="eastAsia" w:ascii="华文仿宋" w:hAnsi="华文仿宋" w:eastAsia="华文仿宋"/>
                <w:szCs w:val="21"/>
                <w:lang w:val="en-US" w:eastAsia="zh-CN"/>
              </w:rPr>
              <w:t>广东</w:t>
            </w:r>
            <w:r>
              <w:rPr>
                <w:rFonts w:hint="eastAsia" w:ascii="华文仿宋" w:hAnsi="华文仿宋" w:eastAsia="华文仿宋"/>
                <w:szCs w:val="21"/>
              </w:rPr>
              <w:t>华商（上海）律师事务所</w:t>
            </w:r>
          </w:p>
        </w:tc>
      </w:tr>
      <w:tr w14:paraId="1C15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11" w:type="dxa"/>
            <w:gridSpan w:val="2"/>
            <w:tcBorders>
              <w:top w:val="single" w:color="auto" w:sz="4" w:space="0"/>
              <w:left w:val="single" w:color="auto" w:sz="4" w:space="0"/>
              <w:bottom w:val="single" w:color="auto" w:sz="4" w:space="0"/>
              <w:right w:val="single" w:color="auto" w:sz="4" w:space="0"/>
            </w:tcBorders>
            <w:noWrap w:val="0"/>
            <w:vAlign w:val="center"/>
          </w:tcPr>
          <w:p w14:paraId="3C2C3309">
            <w:pPr>
              <w:spacing w:line="360" w:lineRule="auto"/>
              <w:jc w:val="center"/>
              <w:rPr>
                <w:rFonts w:hint="eastAsia" w:ascii="华文仿宋" w:hAnsi="华文仿宋" w:eastAsia="华文仿宋"/>
                <w:szCs w:val="21"/>
              </w:rPr>
            </w:pPr>
            <w:r>
              <w:rPr>
                <w:rFonts w:hint="eastAsia" w:ascii="华文仿宋" w:hAnsi="华文仿宋" w:eastAsia="华文仿宋"/>
                <w:szCs w:val="21"/>
              </w:rPr>
              <w:t>产品负责律师</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576DC81C">
            <w:pPr>
              <w:spacing w:line="360" w:lineRule="auto"/>
              <w:rPr>
                <w:rFonts w:hint="eastAsia" w:ascii="华文仿宋" w:hAnsi="华文仿宋" w:eastAsia="华文仿宋"/>
                <w:szCs w:val="21"/>
              </w:rPr>
            </w:pPr>
            <w:r>
              <w:rPr>
                <w:rFonts w:hint="eastAsia" w:ascii="华文仿宋" w:hAnsi="华文仿宋" w:eastAsia="华文仿宋"/>
                <w:szCs w:val="21"/>
              </w:rPr>
              <w:t>汤宇</w:t>
            </w:r>
          </w:p>
        </w:tc>
      </w:tr>
      <w:tr w14:paraId="2957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11" w:type="dxa"/>
            <w:gridSpan w:val="2"/>
            <w:tcBorders>
              <w:top w:val="single" w:color="auto" w:sz="4" w:space="0"/>
              <w:left w:val="single" w:color="auto" w:sz="4" w:space="0"/>
              <w:bottom w:val="single" w:color="auto" w:sz="4" w:space="0"/>
              <w:right w:val="single" w:color="auto" w:sz="4" w:space="0"/>
            </w:tcBorders>
            <w:noWrap w:val="0"/>
            <w:vAlign w:val="center"/>
          </w:tcPr>
          <w:p w14:paraId="6C33DE5A">
            <w:pPr>
              <w:spacing w:line="360" w:lineRule="auto"/>
              <w:jc w:val="center"/>
              <w:rPr>
                <w:rFonts w:hint="eastAsia" w:ascii="华文仿宋" w:hAnsi="华文仿宋" w:eastAsia="华文仿宋"/>
                <w:szCs w:val="21"/>
              </w:rPr>
            </w:pPr>
            <w:r>
              <w:rPr>
                <w:rFonts w:hint="eastAsia" w:ascii="华文仿宋" w:hAnsi="华文仿宋" w:eastAsia="华文仿宋"/>
                <w:szCs w:val="21"/>
              </w:rPr>
              <w:t>核心服务律师</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70CA0053">
            <w:pPr>
              <w:spacing w:line="360" w:lineRule="auto"/>
              <w:rPr>
                <w:rFonts w:hint="eastAsia" w:ascii="华文仿宋" w:hAnsi="华文仿宋" w:eastAsia="华文仿宋"/>
                <w:szCs w:val="21"/>
              </w:rPr>
            </w:pPr>
            <w:r>
              <w:rPr>
                <w:rFonts w:hint="eastAsia" w:ascii="华文仿宋" w:hAnsi="华文仿宋" w:eastAsia="华文仿宋"/>
                <w:szCs w:val="21"/>
              </w:rPr>
              <w:t>汤宇、木笑瑞</w:t>
            </w:r>
          </w:p>
        </w:tc>
      </w:tr>
      <w:tr w14:paraId="0248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11" w:type="dxa"/>
            <w:gridSpan w:val="2"/>
            <w:tcBorders>
              <w:top w:val="single" w:color="auto" w:sz="4" w:space="0"/>
              <w:left w:val="single" w:color="auto" w:sz="4" w:space="0"/>
              <w:bottom w:val="single" w:color="auto" w:sz="4" w:space="0"/>
              <w:right w:val="single" w:color="auto" w:sz="4" w:space="0"/>
            </w:tcBorders>
            <w:noWrap w:val="0"/>
            <w:vAlign w:val="center"/>
          </w:tcPr>
          <w:p w14:paraId="58378CC8">
            <w:pPr>
              <w:spacing w:line="360" w:lineRule="auto"/>
              <w:jc w:val="center"/>
              <w:rPr>
                <w:rFonts w:ascii="华文仿宋" w:hAnsi="华文仿宋" w:eastAsia="华文仿宋"/>
                <w:szCs w:val="21"/>
              </w:rPr>
            </w:pPr>
            <w:r>
              <w:rPr>
                <w:rFonts w:hint="eastAsia" w:ascii="华文仿宋" w:hAnsi="华文仿宋" w:eastAsia="华文仿宋"/>
                <w:szCs w:val="21"/>
              </w:rPr>
              <w:t>主要服务国家或地区</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00CB0519">
            <w:pPr>
              <w:spacing w:line="360" w:lineRule="auto"/>
              <w:rPr>
                <w:rFonts w:hint="eastAsia" w:ascii="华文仿宋" w:hAnsi="华文仿宋" w:eastAsia="华文仿宋"/>
                <w:szCs w:val="21"/>
              </w:rPr>
            </w:pPr>
            <w:r>
              <w:rPr>
                <w:rFonts w:hint="eastAsia" w:ascii="Garamond" w:hAnsi="Garamond"/>
                <w:b/>
                <w:sz w:val="18"/>
                <w:szCs w:val="18"/>
              </w:rPr>
              <w:t>印度、孟加拉、越南、印度尼西亚、马来西亚、泰国、新加坡及中国台湾地区</w:t>
            </w:r>
          </w:p>
        </w:tc>
      </w:tr>
      <w:tr w14:paraId="32F7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37" w:type="dxa"/>
            <w:vMerge w:val="restart"/>
            <w:tcBorders>
              <w:top w:val="single" w:color="auto" w:sz="4" w:space="0"/>
              <w:left w:val="single" w:color="auto" w:sz="4" w:space="0"/>
              <w:bottom w:val="single" w:color="auto" w:sz="4" w:space="0"/>
              <w:right w:val="single" w:color="auto" w:sz="4" w:space="0"/>
            </w:tcBorders>
            <w:noWrap w:val="0"/>
            <w:vAlign w:val="center"/>
          </w:tcPr>
          <w:p w14:paraId="252E9B50">
            <w:pPr>
              <w:spacing w:line="360" w:lineRule="auto"/>
              <w:jc w:val="center"/>
              <w:rPr>
                <w:rFonts w:hint="eastAsia" w:ascii="华文仿宋" w:hAnsi="华文仿宋" w:eastAsia="华文仿宋"/>
                <w:szCs w:val="21"/>
              </w:rPr>
            </w:pPr>
            <w:r>
              <w:rPr>
                <w:rFonts w:hint="eastAsia" w:ascii="华文仿宋" w:hAnsi="华文仿宋" w:eastAsia="华文仿宋"/>
                <w:szCs w:val="21"/>
              </w:rPr>
              <w:t>产品信息</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8F26431">
            <w:pPr>
              <w:spacing w:before="156" w:beforeLines="50" w:after="156" w:afterLines="50" w:line="360" w:lineRule="exact"/>
              <w:jc w:val="center"/>
              <w:rPr>
                <w:rFonts w:ascii="华文仿宋" w:hAnsi="华文仿宋" w:eastAsia="华文仿宋"/>
                <w:szCs w:val="21"/>
              </w:rPr>
            </w:pPr>
            <w:r>
              <w:rPr>
                <w:rFonts w:hint="eastAsia" w:ascii="华文仿宋" w:hAnsi="华文仿宋" w:eastAsia="华文仿宋"/>
                <w:szCs w:val="21"/>
              </w:rPr>
              <w:t>产品定位</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19B0FCF6">
            <w:pPr>
              <w:spacing w:before="156" w:beforeLines="50" w:after="156" w:afterLines="50" w:line="360" w:lineRule="exact"/>
              <w:rPr>
                <w:rFonts w:hint="eastAsia" w:ascii="华文仿宋" w:hAnsi="华文仿宋" w:eastAsia="华文仿宋"/>
                <w:szCs w:val="21"/>
              </w:rPr>
            </w:pPr>
            <w:r>
              <w:rPr>
                <w:rFonts w:hint="eastAsia" w:ascii="华文仿宋" w:hAnsi="华文仿宋" w:eastAsia="华文仿宋"/>
                <w:szCs w:val="21"/>
              </w:rPr>
              <w:t>本产品致力于为中资企业出海南亚（印度、孟加拉国）及东南亚国家提供全面、精准、专业的一站式法律服务，无论是在资金出境及准入、本地公司治理、项目资产交易、知识产权战略布局、商事争议解决还是其他法律领域，都能为企业提供清晰明了的综合应对方案。本产品服务团队的优势在于深入了解南亚地区的法律环境和文化背景，拥有丰富的跨文化交流经验，为企业在南亚市场的经营保驾护航！</w:t>
            </w:r>
          </w:p>
        </w:tc>
      </w:tr>
      <w:tr w14:paraId="5F70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37" w:type="dxa"/>
            <w:vMerge w:val="continue"/>
            <w:tcBorders>
              <w:top w:val="single" w:color="auto" w:sz="4" w:space="0"/>
              <w:left w:val="single" w:color="auto" w:sz="4" w:space="0"/>
              <w:bottom w:val="single" w:color="auto" w:sz="4" w:space="0"/>
              <w:right w:val="single" w:color="auto" w:sz="4" w:space="0"/>
            </w:tcBorders>
            <w:noWrap w:val="0"/>
            <w:vAlign w:val="center"/>
          </w:tcPr>
          <w:p w14:paraId="15A61EB3">
            <w:pPr>
              <w:spacing w:line="360" w:lineRule="auto"/>
              <w:jc w:val="center"/>
              <w:rPr>
                <w:rFonts w:hint="eastAsia" w:ascii="华文仿宋" w:hAnsi="华文仿宋" w:eastAsia="华文仿宋"/>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29B6E0A">
            <w:pPr>
              <w:spacing w:before="156" w:beforeLines="50" w:after="156" w:afterLines="50" w:line="360" w:lineRule="exact"/>
              <w:jc w:val="center"/>
              <w:rPr>
                <w:rFonts w:ascii="华文仿宋" w:hAnsi="华文仿宋" w:eastAsia="华文仿宋"/>
                <w:szCs w:val="21"/>
              </w:rPr>
            </w:pPr>
            <w:r>
              <w:rPr>
                <w:rFonts w:ascii="华文仿宋" w:hAnsi="华文仿宋" w:eastAsia="华文仿宋"/>
                <w:szCs w:val="21"/>
              </w:rPr>
              <w:t>产品核心价值</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2B48FB67">
            <w:pPr>
              <w:spacing w:before="156" w:beforeLines="50" w:after="156" w:afterLines="50" w:line="360" w:lineRule="exact"/>
              <w:rPr>
                <w:rFonts w:hint="eastAsia" w:ascii="华文仿宋" w:hAnsi="华文仿宋" w:eastAsia="华文仿宋"/>
                <w:szCs w:val="21"/>
              </w:rPr>
            </w:pPr>
            <w:r>
              <w:rPr>
                <w:rFonts w:hint="eastAsia" w:ascii="华文仿宋" w:hAnsi="华文仿宋" w:eastAsia="华文仿宋"/>
                <w:szCs w:val="21"/>
              </w:rPr>
              <w:t>本服务产品旨在为意向在南亚版块开展直接投资的中资企业提供精准专业的投资一站式配套法律服务，针对客户资金出境和准入、投资目的国主体审批及设立、合理海外架构设计、大宗交易尽调及交割、当地投资优惠政策申报及适用、公司本土化运营合规等南亚直接投资过程的全部环节，为客户配备组建中印、中孟律师联合团队提供服务的方式，解决不同语言差别、国别文化繁异、法律体系复杂的痛点，力求为中资客户出海南亚版块提供系统性的法律服务。</w:t>
            </w:r>
          </w:p>
        </w:tc>
      </w:tr>
      <w:tr w14:paraId="2B05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37" w:type="dxa"/>
            <w:vMerge w:val="continue"/>
            <w:tcBorders>
              <w:top w:val="single" w:color="auto" w:sz="4" w:space="0"/>
              <w:left w:val="single" w:color="auto" w:sz="4" w:space="0"/>
              <w:bottom w:val="single" w:color="auto" w:sz="4" w:space="0"/>
              <w:right w:val="single" w:color="auto" w:sz="4" w:space="0"/>
            </w:tcBorders>
            <w:noWrap w:val="0"/>
            <w:vAlign w:val="center"/>
          </w:tcPr>
          <w:p w14:paraId="6DE5C800">
            <w:pPr>
              <w:spacing w:line="360" w:lineRule="auto"/>
              <w:jc w:val="center"/>
              <w:rPr>
                <w:rFonts w:hint="eastAsia" w:ascii="华文仿宋" w:hAnsi="华文仿宋" w:eastAsia="华文仿宋"/>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7B51A99">
            <w:pPr>
              <w:spacing w:before="156" w:beforeLines="50" w:after="156" w:afterLines="50" w:line="360" w:lineRule="exact"/>
              <w:jc w:val="center"/>
              <w:rPr>
                <w:rFonts w:hint="eastAsia" w:ascii="华文仿宋" w:hAnsi="华文仿宋" w:eastAsia="华文仿宋"/>
                <w:szCs w:val="21"/>
              </w:rPr>
            </w:pPr>
            <w:r>
              <w:rPr>
                <w:rFonts w:ascii="华文仿宋" w:hAnsi="华文仿宋" w:eastAsia="华文仿宋"/>
                <w:szCs w:val="21"/>
              </w:rPr>
              <w:t>产品</w:t>
            </w:r>
            <w:r>
              <w:rPr>
                <w:rFonts w:hint="eastAsia" w:ascii="华文仿宋" w:hAnsi="华文仿宋" w:eastAsia="华文仿宋"/>
                <w:szCs w:val="21"/>
              </w:rPr>
              <w:t>专业</w:t>
            </w:r>
            <w:r>
              <w:rPr>
                <w:rFonts w:ascii="华文仿宋" w:hAnsi="华文仿宋" w:eastAsia="华文仿宋"/>
                <w:szCs w:val="21"/>
              </w:rPr>
              <w:t>类型</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386D81DA">
            <w:pPr>
              <w:widowControl/>
              <w:autoSpaceDE w:val="0"/>
              <w:autoSpaceDN w:val="0"/>
              <w:snapToGrid w:val="0"/>
              <w:spacing w:line="340" w:lineRule="exact"/>
              <w:rPr>
                <w:rFonts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跨境诉讼</w:t>
            </w:r>
          </w:p>
          <w:p w14:paraId="307DF3A7">
            <w:pPr>
              <w:widowControl/>
              <w:autoSpaceDE w:val="0"/>
              <w:autoSpaceDN w:val="0"/>
              <w:snapToGrid w:val="0"/>
              <w:spacing w:line="340" w:lineRule="exact"/>
              <w:rPr>
                <w:rFonts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国际商事调解和仲裁</w:t>
            </w:r>
          </w:p>
          <w:p w14:paraId="4F09570D">
            <w:pPr>
              <w:widowControl/>
              <w:autoSpaceDE w:val="0"/>
              <w:autoSpaceDN w:val="0"/>
              <w:snapToGrid w:val="0"/>
              <w:spacing w:line="340" w:lineRule="exact"/>
              <w:rPr>
                <w:rFonts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跨境投资并购</w:t>
            </w:r>
          </w:p>
          <w:p w14:paraId="5252D8E7">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□国际证券资本市场</w:t>
            </w:r>
          </w:p>
          <w:p w14:paraId="177D81C0">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□国际贸易及海关</w:t>
            </w:r>
          </w:p>
          <w:p w14:paraId="0ADCD22F">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□国际税法</w:t>
            </w:r>
          </w:p>
          <w:p w14:paraId="6BBEA9B6">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□海事海商、航运金融</w:t>
            </w:r>
          </w:p>
          <w:p w14:paraId="40F61225">
            <w:pPr>
              <w:widowControl/>
              <w:autoSpaceDE w:val="0"/>
              <w:autoSpaceDN w:val="0"/>
              <w:snapToGrid w:val="0"/>
              <w:spacing w:line="340" w:lineRule="exact"/>
              <w:rPr>
                <w:rFonts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国际工程</w:t>
            </w:r>
          </w:p>
          <w:p w14:paraId="25C40D68">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□国际房地产开发</w:t>
            </w:r>
          </w:p>
          <w:p w14:paraId="38B83017">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□国际知识产权：专利、商标、著作权、软件、域名、其他</w:t>
            </w:r>
          </w:p>
          <w:p w14:paraId="4C667FBA">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□国际金融、保险业务</w:t>
            </w:r>
          </w:p>
          <w:p w14:paraId="5B32A8D2">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□跨境数据合规业务</w:t>
            </w:r>
          </w:p>
          <w:p w14:paraId="19A59861">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□国际矿业、能源业务</w:t>
            </w:r>
          </w:p>
          <w:p w14:paraId="231015D1">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□国际ESG法律服务</w:t>
            </w:r>
          </w:p>
          <w:p w14:paraId="5A1E7E55">
            <w:pPr>
              <w:widowControl/>
              <w:autoSpaceDE w:val="0"/>
              <w:autoSpaceDN w:val="0"/>
              <w:snapToGrid w:val="0"/>
              <w:spacing w:line="340" w:lineRule="exact"/>
              <w:rPr>
                <w:rFonts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国际劳动用工</w:t>
            </w:r>
          </w:p>
          <w:p w14:paraId="15F0B6A2">
            <w:pPr>
              <w:widowControl/>
              <w:autoSpaceDE w:val="0"/>
              <w:autoSpaceDN w:val="0"/>
              <w:snapToGrid w:val="0"/>
              <w:spacing w:line="340" w:lineRule="exact"/>
              <w:rPr>
                <w:rFonts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反倾销和反补贴、WTO业务</w:t>
            </w:r>
          </w:p>
          <w:p w14:paraId="70AE988F">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□反垄断、反不正当竞争</w:t>
            </w:r>
          </w:p>
          <w:p w14:paraId="561F6273">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□进出口管制和经济制裁</w:t>
            </w:r>
          </w:p>
          <w:p w14:paraId="3F194111">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□国家安全审查与地缘政治风险应对</w:t>
            </w:r>
          </w:p>
          <w:p w14:paraId="1752E055">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□反腐败</w:t>
            </w:r>
          </w:p>
          <w:p w14:paraId="6D9EE7EA">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□反洗钱、反恐怖主义融资</w:t>
            </w:r>
          </w:p>
          <w:p w14:paraId="3BD6BC51">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□跨境破产与债务重组</w:t>
            </w:r>
          </w:p>
          <w:p w14:paraId="12B1DE48">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□跨境家族信托与财富传承</w:t>
            </w:r>
          </w:p>
          <w:p w14:paraId="51934F0D">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□其他（请注明）________</w:t>
            </w:r>
          </w:p>
        </w:tc>
      </w:tr>
      <w:tr w14:paraId="136C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37" w:type="dxa"/>
            <w:vMerge w:val="continue"/>
            <w:tcBorders>
              <w:top w:val="single" w:color="auto" w:sz="4" w:space="0"/>
              <w:left w:val="single" w:color="auto" w:sz="4" w:space="0"/>
              <w:bottom w:val="single" w:color="auto" w:sz="4" w:space="0"/>
              <w:right w:val="single" w:color="auto" w:sz="4" w:space="0"/>
            </w:tcBorders>
            <w:noWrap w:val="0"/>
            <w:vAlign w:val="center"/>
          </w:tcPr>
          <w:p w14:paraId="685B7F08">
            <w:pPr>
              <w:spacing w:line="360" w:lineRule="auto"/>
              <w:jc w:val="center"/>
              <w:rPr>
                <w:rFonts w:hint="eastAsia" w:ascii="华文仿宋" w:hAnsi="华文仿宋" w:eastAsia="华文仿宋"/>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80ABBA4">
            <w:pPr>
              <w:spacing w:before="156" w:beforeLines="50" w:after="156" w:afterLines="50" w:line="360" w:lineRule="exact"/>
              <w:jc w:val="center"/>
              <w:rPr>
                <w:rFonts w:ascii="华文仿宋" w:hAnsi="华文仿宋" w:eastAsia="华文仿宋"/>
                <w:szCs w:val="21"/>
              </w:rPr>
            </w:pPr>
            <w:r>
              <w:rPr>
                <w:rFonts w:ascii="华文仿宋" w:hAnsi="华文仿宋" w:eastAsia="华文仿宋"/>
                <w:szCs w:val="21"/>
              </w:rPr>
              <w:t>产品</w:t>
            </w:r>
            <w:r>
              <w:rPr>
                <w:rFonts w:hint="eastAsia" w:ascii="华文仿宋" w:hAnsi="华文仿宋" w:eastAsia="华文仿宋"/>
                <w:szCs w:val="21"/>
              </w:rPr>
              <w:t>对应行业</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3212D992">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□农林牧渔业</w:t>
            </w:r>
          </w:p>
          <w:p w14:paraId="0C564214">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□采矿业</w:t>
            </w:r>
          </w:p>
          <w:p w14:paraId="0583D9B5">
            <w:pPr>
              <w:widowControl/>
              <w:autoSpaceDE w:val="0"/>
              <w:autoSpaceDN w:val="0"/>
              <w:snapToGrid w:val="0"/>
              <w:spacing w:line="340" w:lineRule="exact"/>
              <w:rPr>
                <w:rFonts w:hint="eastAsia"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制造业</w:t>
            </w:r>
          </w:p>
          <w:p w14:paraId="422E75E4">
            <w:pPr>
              <w:widowControl/>
              <w:autoSpaceDE w:val="0"/>
              <w:autoSpaceDN w:val="0"/>
              <w:snapToGrid w:val="0"/>
              <w:spacing w:line="340" w:lineRule="exact"/>
              <w:rPr>
                <w:rFonts w:hint="eastAsia"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建筑业</w:t>
            </w:r>
          </w:p>
          <w:p w14:paraId="53026C4B">
            <w:pPr>
              <w:widowControl/>
              <w:autoSpaceDE w:val="0"/>
              <w:autoSpaceDN w:val="0"/>
              <w:snapToGrid w:val="0"/>
              <w:spacing w:line="340" w:lineRule="exact"/>
              <w:rPr>
                <w:rFonts w:hint="eastAsia"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批发零售业</w:t>
            </w:r>
          </w:p>
          <w:p w14:paraId="15E01E82">
            <w:pPr>
              <w:widowControl/>
              <w:autoSpaceDE w:val="0"/>
              <w:autoSpaceDN w:val="0"/>
              <w:snapToGrid w:val="0"/>
              <w:spacing w:line="340" w:lineRule="exact"/>
              <w:rPr>
                <w:rFonts w:hint="eastAsia"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交通运输、仓储和物流服务业</w:t>
            </w:r>
          </w:p>
          <w:p w14:paraId="69A96FD0">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□住宿和餐饮业</w:t>
            </w:r>
          </w:p>
          <w:p w14:paraId="3341D507">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□信息传输、软件和信息技术服务业</w:t>
            </w:r>
          </w:p>
          <w:p w14:paraId="7726D358">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□金融业（含资本市场服务）</w:t>
            </w:r>
          </w:p>
          <w:p w14:paraId="49C2EF1B">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□房地产业</w:t>
            </w:r>
          </w:p>
          <w:p w14:paraId="271C2989">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□租赁和商务服务业</w:t>
            </w:r>
          </w:p>
          <w:p w14:paraId="2A74B3DA">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□科学研究和技术服务业</w:t>
            </w:r>
          </w:p>
          <w:p w14:paraId="5D8C8129">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□节能环保清洁产业（含清洁生产、清洁能源）</w:t>
            </w:r>
          </w:p>
          <w:p w14:paraId="5B9A600B">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□医疗卫生与健康服务</w:t>
            </w:r>
          </w:p>
          <w:p w14:paraId="055E02C8">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□文化、体育和娱乐业</w:t>
            </w:r>
          </w:p>
          <w:p w14:paraId="0A280AFA">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□教育培训</w:t>
            </w:r>
          </w:p>
          <w:p w14:paraId="4CA91752">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□集成电路</w:t>
            </w:r>
          </w:p>
          <w:p w14:paraId="4C7BA6CC">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□生物医药（创新药物、高端医疗器械、生物技术服务等）</w:t>
            </w:r>
          </w:p>
          <w:p w14:paraId="48E91575">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□人工智能（智能芯片、智能软件、自动驾驶、具身智能等）</w:t>
            </w:r>
          </w:p>
          <w:p w14:paraId="7FF4C5AC">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□电子信息</w:t>
            </w:r>
          </w:p>
          <w:p w14:paraId="50391860">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□生命健康</w:t>
            </w:r>
          </w:p>
          <w:p w14:paraId="6A718831">
            <w:pPr>
              <w:widowControl/>
              <w:autoSpaceDE w:val="0"/>
              <w:autoSpaceDN w:val="0"/>
              <w:snapToGrid w:val="0"/>
              <w:spacing w:line="340" w:lineRule="exact"/>
              <w:rPr>
                <w:rFonts w:hint="eastAsia"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汽车</w:t>
            </w:r>
          </w:p>
          <w:p w14:paraId="4A2BDBB2">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□高端装备</w:t>
            </w:r>
          </w:p>
          <w:p w14:paraId="4EE2AC08">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□先进材料</w:t>
            </w:r>
          </w:p>
          <w:p w14:paraId="0EC8F9B8">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□时尚消费品</w:t>
            </w:r>
          </w:p>
          <w:p w14:paraId="418006DE">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□低空经济</w:t>
            </w:r>
          </w:p>
          <w:p w14:paraId="6C976B62">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□未来产业（光子芯片与器件、基因与细胞技术、类脑智能、新型海洋经济、氢能与储能等）</w:t>
            </w:r>
          </w:p>
          <w:p w14:paraId="6C47F7F9">
            <w:pPr>
              <w:widowControl/>
              <w:autoSpaceDE w:val="0"/>
              <w:autoSpaceDN w:val="0"/>
              <w:snapToGrid w:val="0"/>
              <w:spacing w:line="340" w:lineRule="exact"/>
              <w:rPr>
                <w:rFonts w:hint="eastAsia"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游戏和电竞</w:t>
            </w:r>
          </w:p>
          <w:p w14:paraId="47936094">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□其他（请注明）________</w:t>
            </w:r>
          </w:p>
        </w:tc>
      </w:tr>
      <w:tr w14:paraId="430E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37" w:type="dxa"/>
            <w:vMerge w:val="continue"/>
            <w:tcBorders>
              <w:top w:val="single" w:color="auto" w:sz="4" w:space="0"/>
              <w:left w:val="single" w:color="auto" w:sz="4" w:space="0"/>
              <w:bottom w:val="single" w:color="auto" w:sz="4" w:space="0"/>
              <w:right w:val="single" w:color="auto" w:sz="4" w:space="0"/>
            </w:tcBorders>
            <w:noWrap w:val="0"/>
            <w:vAlign w:val="center"/>
          </w:tcPr>
          <w:p w14:paraId="5284A321">
            <w:pPr>
              <w:spacing w:line="360" w:lineRule="auto"/>
              <w:jc w:val="center"/>
              <w:rPr>
                <w:rFonts w:hint="eastAsia" w:ascii="华文仿宋" w:hAnsi="华文仿宋" w:eastAsia="华文仿宋"/>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903E659">
            <w:pPr>
              <w:spacing w:before="156" w:beforeLines="50" w:after="156" w:afterLines="50" w:line="360" w:lineRule="exact"/>
              <w:jc w:val="center"/>
              <w:rPr>
                <w:rFonts w:hint="eastAsia" w:ascii="华文仿宋" w:hAnsi="华文仿宋" w:eastAsia="华文仿宋"/>
                <w:szCs w:val="21"/>
              </w:rPr>
            </w:pPr>
            <w:r>
              <w:rPr>
                <w:rFonts w:ascii="华文仿宋" w:hAnsi="华文仿宋" w:eastAsia="华文仿宋"/>
                <w:szCs w:val="21"/>
              </w:rPr>
              <w:t>核心服务内容</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7D3EB7EE">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请阐述是在上述产品类型项下的服务类型（可所选）</w:t>
            </w:r>
          </w:p>
          <w:p w14:paraId="06DDAB3B">
            <w:pPr>
              <w:widowControl/>
              <w:autoSpaceDE w:val="0"/>
              <w:autoSpaceDN w:val="0"/>
              <w:snapToGrid w:val="0"/>
              <w:spacing w:line="340" w:lineRule="exact"/>
              <w:rPr>
                <w:rFonts w:hint="eastAsia" w:ascii="华文仿宋" w:hAnsi="华文仿宋" w:eastAsia="华文仿宋"/>
                <w:szCs w:val="21"/>
              </w:rPr>
            </w:pPr>
            <w:r>
              <w:rPr>
                <w:rFonts w:ascii="Wingdings 2" w:hAnsi="Wingdings 2" w:eastAsia="仿宋_GB2312" w:cs="仿宋_GB2312"/>
                <w:sz w:val="24"/>
              </w:rPr>
              <w:t>R</w:t>
            </w:r>
            <w:bookmarkStart w:id="1" w:name="OLE_LINK17"/>
            <w:r>
              <w:rPr>
                <w:rFonts w:hint="eastAsia" w:ascii="华文仿宋" w:hAnsi="华文仿宋" w:eastAsia="华文仿宋"/>
                <w:szCs w:val="21"/>
              </w:rPr>
              <w:t>相关领域</w:t>
            </w:r>
            <w:bookmarkEnd w:id="1"/>
            <w:r>
              <w:rPr>
                <w:rFonts w:hint="eastAsia" w:ascii="华文仿宋" w:hAnsi="华文仿宋" w:eastAsia="华文仿宋"/>
                <w:szCs w:val="21"/>
              </w:rPr>
              <w:t>日常专项咨询 / 非诉法律意见</w:t>
            </w:r>
          </w:p>
          <w:p w14:paraId="21701749">
            <w:pPr>
              <w:widowControl/>
              <w:autoSpaceDE w:val="0"/>
              <w:autoSpaceDN w:val="0"/>
              <w:snapToGrid w:val="0"/>
              <w:spacing w:line="340" w:lineRule="exact"/>
              <w:rPr>
                <w:rFonts w:hint="eastAsia"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 xml:space="preserve">相关领域合规体系搭建与制度 </w:t>
            </w:r>
          </w:p>
          <w:p w14:paraId="189C64C9">
            <w:pPr>
              <w:widowControl/>
              <w:autoSpaceDE w:val="0"/>
              <w:autoSpaceDN w:val="0"/>
              <w:snapToGrid w:val="0"/>
              <w:spacing w:line="340" w:lineRule="exact"/>
              <w:rPr>
                <w:rFonts w:hint="eastAsia"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相关领域合规审查</w:t>
            </w:r>
          </w:p>
          <w:p w14:paraId="7F31FE2E">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□相关领域政府监管应对与配合监管检查 / 调查</w:t>
            </w:r>
          </w:p>
          <w:p w14:paraId="2F353B09">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□相关领域违规 / 处罚申诉、异议、听证、陈述申辩</w:t>
            </w:r>
          </w:p>
          <w:p w14:paraId="062B0BB5">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□相关领域行政复议、行政诉讼（处罚 / 许可 / 信息公开等）</w:t>
            </w:r>
          </w:p>
          <w:p w14:paraId="44149620">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□相关领域内部调查、合规整改、补救方案</w:t>
            </w:r>
          </w:p>
          <w:p w14:paraId="1AF0AFEF">
            <w:pPr>
              <w:widowControl/>
              <w:autoSpaceDE w:val="0"/>
              <w:autoSpaceDN w:val="0"/>
              <w:snapToGrid w:val="0"/>
              <w:spacing w:line="340" w:lineRule="exact"/>
              <w:rPr>
                <w:rFonts w:hint="eastAsia"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相关领域风险排查、尽职调查、合规尽调</w:t>
            </w:r>
          </w:p>
          <w:p w14:paraId="53867968">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□相关领域合规培训、宣导、文化建设</w:t>
            </w:r>
          </w:p>
          <w:p w14:paraId="237BE1F6">
            <w:pPr>
              <w:widowControl/>
              <w:autoSpaceDE w:val="0"/>
              <w:autoSpaceDN w:val="0"/>
              <w:snapToGrid w:val="0"/>
              <w:spacing w:line="340" w:lineRule="exact"/>
              <w:rPr>
                <w:rFonts w:hint="eastAsia"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相关领域许可 / 备案 / 资质申请与维护</w:t>
            </w:r>
          </w:p>
          <w:p w14:paraId="54C04DDC">
            <w:pPr>
              <w:widowControl/>
              <w:autoSpaceDE w:val="0"/>
              <w:autoSpaceDN w:val="0"/>
              <w:snapToGrid w:val="0"/>
              <w:spacing w:line="340" w:lineRule="exact"/>
              <w:rPr>
                <w:rFonts w:ascii="华文仿宋" w:hAnsi="华文仿宋" w:eastAsia="华文仿宋"/>
                <w:szCs w:val="21"/>
              </w:rPr>
            </w:pPr>
            <w:r>
              <w:rPr>
                <w:rFonts w:ascii="Wingdings 2" w:hAnsi="Wingdings 2" w:eastAsia="仿宋_GB2312" w:cs="仿宋_GB2312"/>
                <w:sz w:val="24"/>
              </w:rPr>
              <w:t>R</w:t>
            </w:r>
            <w:r>
              <w:rPr>
                <w:rFonts w:hint="eastAsia" w:ascii="华文仿宋" w:hAnsi="华文仿宋" w:eastAsia="华文仿宋"/>
                <w:szCs w:val="21"/>
              </w:rPr>
              <w:t>与相关专业领域有关的争议纠纷处理</w:t>
            </w:r>
          </w:p>
          <w:p w14:paraId="73057BCC">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□其他（请注明）________</w:t>
            </w:r>
          </w:p>
        </w:tc>
      </w:tr>
    </w:tbl>
    <w:p w14:paraId="0686F101">
      <w:pPr>
        <w:rPr>
          <w:rFonts w:hint="eastAsia"/>
        </w:rPr>
      </w:pPr>
    </w:p>
    <w:p w14:paraId="6C8FC8C5">
      <w:pPr>
        <w:adjustRightInd w:val="0"/>
        <w:snapToGrid w:val="0"/>
        <w:spacing w:line="360" w:lineRule="auto"/>
        <w:ind w:firstLine="560" w:firstLineChars="200"/>
        <w:rPr>
          <w:color w:val="000000"/>
          <w:sz w:val="28"/>
          <w:szCs w:val="28"/>
        </w:rPr>
      </w:pPr>
    </w:p>
    <w:p w14:paraId="54D42770">
      <w:pPr>
        <w:spacing w:after="160" w:line="560" w:lineRule="exact"/>
        <w:ind w:firstLine="640" w:firstLineChars="200"/>
        <w:jc w:val="left"/>
        <w:rPr>
          <w:rFonts w:ascii="仿宋_GB2312" w:hAnsi="宋体" w:eastAsia="仿宋_GB2312"/>
          <w:color w:val="0C0C0C"/>
          <w:sz w:val="32"/>
          <w:szCs w:val="32"/>
        </w:rPr>
      </w:pPr>
    </w:p>
    <w:p w14:paraId="667887AD">
      <w:pPr>
        <w:spacing w:after="160" w:line="560" w:lineRule="exact"/>
        <w:ind w:firstLine="640" w:firstLineChars="200"/>
        <w:jc w:val="left"/>
        <w:rPr>
          <w:rFonts w:ascii="仿宋_GB2312" w:hAnsi="宋体" w:eastAsia="仿宋_GB2312"/>
          <w:color w:val="0C0C0C"/>
          <w:sz w:val="32"/>
          <w:szCs w:val="32"/>
        </w:rPr>
      </w:pPr>
    </w:p>
    <w:p w14:paraId="1CE542B3">
      <w:pPr>
        <w:spacing w:after="160" w:line="560" w:lineRule="exact"/>
        <w:ind w:firstLine="640" w:firstLineChars="200"/>
        <w:jc w:val="left"/>
        <w:rPr>
          <w:rFonts w:ascii="仿宋_GB2312" w:hAnsi="宋体" w:eastAsia="仿宋_GB2312"/>
          <w:color w:val="0C0C0C"/>
          <w:sz w:val="32"/>
          <w:szCs w:val="32"/>
        </w:rPr>
      </w:pPr>
    </w:p>
    <w:p w14:paraId="0017E6A6">
      <w:pPr>
        <w:spacing w:after="160" w:line="560" w:lineRule="exact"/>
        <w:ind w:firstLine="640" w:firstLineChars="200"/>
        <w:jc w:val="left"/>
        <w:rPr>
          <w:rFonts w:ascii="仿宋_GB2312" w:hAnsi="宋体" w:eastAsia="仿宋_GB2312"/>
          <w:color w:val="0C0C0C"/>
          <w:sz w:val="32"/>
          <w:szCs w:val="32"/>
        </w:rPr>
      </w:pPr>
    </w:p>
    <w:p w14:paraId="30E56914">
      <w:pPr>
        <w:spacing w:after="160" w:line="560" w:lineRule="exact"/>
        <w:ind w:firstLine="640" w:firstLineChars="200"/>
        <w:jc w:val="left"/>
        <w:rPr>
          <w:rFonts w:ascii="仿宋_GB2312" w:hAnsi="宋体" w:eastAsia="仿宋_GB2312"/>
          <w:color w:val="0C0C0C"/>
          <w:sz w:val="32"/>
          <w:szCs w:val="32"/>
        </w:rPr>
      </w:pPr>
    </w:p>
    <w:p w14:paraId="14159F63">
      <w:pPr>
        <w:spacing w:after="160" w:line="560" w:lineRule="exact"/>
        <w:ind w:firstLine="640" w:firstLineChars="200"/>
        <w:jc w:val="left"/>
        <w:rPr>
          <w:rFonts w:ascii="仿宋_GB2312" w:hAnsi="宋体" w:eastAsia="仿宋_GB2312"/>
          <w:color w:val="0C0C0C"/>
          <w:sz w:val="32"/>
          <w:szCs w:val="32"/>
        </w:rPr>
      </w:pPr>
    </w:p>
    <w:p w14:paraId="2C9071B5">
      <w:pPr>
        <w:spacing w:after="160" w:line="560" w:lineRule="exact"/>
        <w:ind w:firstLine="640" w:firstLineChars="200"/>
        <w:jc w:val="left"/>
        <w:rPr>
          <w:rFonts w:ascii="仿宋_GB2312" w:hAnsi="宋体" w:eastAsia="仿宋_GB2312"/>
          <w:color w:val="0C0C0C"/>
          <w:sz w:val="32"/>
          <w:szCs w:val="32"/>
        </w:rPr>
      </w:pPr>
    </w:p>
    <w:p w14:paraId="47B68EF1">
      <w:pPr>
        <w:spacing w:after="160" w:line="560" w:lineRule="exact"/>
        <w:ind w:firstLine="640" w:firstLineChars="200"/>
        <w:jc w:val="left"/>
        <w:rPr>
          <w:rFonts w:ascii="仿宋_GB2312" w:hAnsi="宋体" w:eastAsia="仿宋_GB2312"/>
          <w:color w:val="0C0C0C"/>
          <w:sz w:val="32"/>
          <w:szCs w:val="32"/>
        </w:rPr>
      </w:pPr>
    </w:p>
    <w:p w14:paraId="3ADCAB49">
      <w:pPr>
        <w:spacing w:after="160" w:line="560" w:lineRule="exact"/>
        <w:ind w:firstLine="640" w:firstLineChars="200"/>
        <w:jc w:val="left"/>
        <w:rPr>
          <w:rFonts w:ascii="仿宋_GB2312" w:hAnsi="宋体" w:eastAsia="仿宋_GB2312"/>
          <w:color w:val="0C0C0C"/>
          <w:sz w:val="32"/>
          <w:szCs w:val="32"/>
        </w:rPr>
      </w:pPr>
    </w:p>
    <w:p w14:paraId="73F2C596">
      <w:pPr>
        <w:spacing w:after="160" w:line="560" w:lineRule="exact"/>
        <w:ind w:firstLine="640" w:firstLineChars="200"/>
        <w:jc w:val="left"/>
        <w:rPr>
          <w:rFonts w:ascii="仿宋_GB2312" w:hAnsi="宋体" w:eastAsia="仿宋_GB2312"/>
          <w:color w:val="0C0C0C"/>
          <w:sz w:val="32"/>
          <w:szCs w:val="32"/>
        </w:rPr>
      </w:pPr>
    </w:p>
    <w:p w14:paraId="5F3C0C3B">
      <w:pPr>
        <w:spacing w:after="160" w:line="560" w:lineRule="exact"/>
        <w:ind w:firstLine="640" w:firstLineChars="200"/>
        <w:jc w:val="left"/>
        <w:rPr>
          <w:rFonts w:ascii="仿宋_GB2312" w:hAnsi="宋体" w:eastAsia="仿宋_GB2312"/>
          <w:color w:val="0C0C0C"/>
          <w:sz w:val="32"/>
          <w:szCs w:val="32"/>
        </w:rPr>
      </w:pPr>
    </w:p>
    <w:p w14:paraId="3BE6821E">
      <w:pPr>
        <w:spacing w:after="160" w:line="560" w:lineRule="exact"/>
        <w:ind w:firstLine="640" w:firstLineChars="200"/>
        <w:jc w:val="left"/>
        <w:rPr>
          <w:rFonts w:ascii="仿宋_GB2312" w:hAnsi="宋体" w:eastAsia="仿宋_GB2312"/>
          <w:color w:val="0C0C0C"/>
          <w:sz w:val="32"/>
          <w:szCs w:val="32"/>
        </w:rPr>
      </w:pPr>
    </w:p>
    <w:p w14:paraId="1ABDDE29">
      <w:pPr>
        <w:spacing w:after="160" w:line="560" w:lineRule="exact"/>
        <w:jc w:val="left"/>
        <w:rPr>
          <w:rFonts w:ascii="仿宋_GB2312" w:hAnsi="宋体" w:eastAsia="仿宋_GB2312"/>
          <w:color w:val="0C0C0C"/>
          <w:sz w:val="32"/>
          <w:szCs w:val="32"/>
        </w:rPr>
      </w:pPr>
    </w:p>
    <w:p w14:paraId="2CEC4A9C">
      <w:pPr>
        <w:spacing w:after="16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各类信息标签</w:t>
      </w:r>
    </w:p>
    <w:tbl>
      <w:tblPr>
        <w:tblStyle w:val="14"/>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7362"/>
      </w:tblGrid>
      <w:tr w14:paraId="1F97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70" w:type="dxa"/>
            <w:tcBorders>
              <w:top w:val="single" w:color="auto" w:sz="4" w:space="0"/>
              <w:left w:val="single" w:color="auto" w:sz="4" w:space="0"/>
              <w:bottom w:val="single" w:color="auto" w:sz="4" w:space="0"/>
              <w:right w:val="single" w:color="auto" w:sz="4" w:space="0"/>
            </w:tcBorders>
            <w:noWrap w:val="0"/>
            <w:vAlign w:val="center"/>
          </w:tcPr>
          <w:p w14:paraId="13DB29B8">
            <w:pPr>
              <w:spacing w:line="360" w:lineRule="auto"/>
              <w:jc w:val="center"/>
              <w:rPr>
                <w:rFonts w:hint="eastAsia" w:ascii="华文仿宋" w:hAnsi="华文仿宋" w:eastAsia="华文仿宋"/>
                <w:szCs w:val="21"/>
              </w:rPr>
            </w:pPr>
            <w:r>
              <w:rPr>
                <w:rFonts w:hint="eastAsia" w:ascii="华文仿宋" w:hAnsi="华文仿宋" w:eastAsia="华文仿宋"/>
                <w:szCs w:val="21"/>
              </w:rPr>
              <w:t>主要服务国家或地区</w:t>
            </w:r>
          </w:p>
        </w:tc>
        <w:tc>
          <w:tcPr>
            <w:tcW w:w="7353" w:type="dxa"/>
            <w:tcBorders>
              <w:top w:val="single" w:color="auto" w:sz="4" w:space="0"/>
              <w:left w:val="single" w:color="auto" w:sz="4" w:space="0"/>
              <w:bottom w:val="single" w:color="auto" w:sz="4" w:space="0"/>
              <w:right w:val="single" w:color="auto" w:sz="4" w:space="0"/>
            </w:tcBorders>
            <w:noWrap w:val="0"/>
            <w:vAlign w:val="center"/>
          </w:tcPr>
          <w:p w14:paraId="5C6D2531">
            <w:pPr>
              <w:spacing w:line="360" w:lineRule="auto"/>
              <w:rPr>
                <w:rFonts w:hint="eastAsia" w:ascii="华文仿宋" w:hAnsi="华文仿宋" w:eastAsia="华文仿宋"/>
                <w:szCs w:val="21"/>
              </w:rPr>
            </w:pPr>
          </w:p>
        </w:tc>
      </w:tr>
      <w:tr w14:paraId="778B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70" w:type="dxa"/>
            <w:tcBorders>
              <w:top w:val="single" w:color="auto" w:sz="4" w:space="0"/>
              <w:left w:val="single" w:color="auto" w:sz="4" w:space="0"/>
              <w:bottom w:val="single" w:color="auto" w:sz="4" w:space="0"/>
              <w:right w:val="single" w:color="auto" w:sz="4" w:space="0"/>
            </w:tcBorders>
            <w:noWrap w:val="0"/>
            <w:vAlign w:val="center"/>
          </w:tcPr>
          <w:p w14:paraId="7E8E002A">
            <w:pPr>
              <w:spacing w:before="156" w:beforeLines="50" w:after="156" w:afterLines="50" w:line="360" w:lineRule="exact"/>
              <w:jc w:val="center"/>
              <w:rPr>
                <w:rFonts w:hint="eastAsia" w:ascii="华文仿宋" w:hAnsi="华文仿宋" w:eastAsia="华文仿宋"/>
                <w:szCs w:val="21"/>
              </w:rPr>
            </w:pPr>
            <w:r>
              <w:rPr>
                <w:rFonts w:ascii="华文仿宋" w:hAnsi="华文仿宋" w:eastAsia="华文仿宋"/>
                <w:szCs w:val="21"/>
              </w:rPr>
              <w:t>产品</w:t>
            </w:r>
            <w:r>
              <w:rPr>
                <w:rFonts w:hint="eastAsia" w:ascii="华文仿宋" w:hAnsi="华文仿宋" w:eastAsia="华文仿宋"/>
                <w:szCs w:val="21"/>
              </w:rPr>
              <w:t>专业</w:t>
            </w:r>
            <w:r>
              <w:rPr>
                <w:rFonts w:ascii="华文仿宋" w:hAnsi="华文仿宋" w:eastAsia="华文仿宋"/>
                <w:szCs w:val="21"/>
              </w:rPr>
              <w:t>类型</w:t>
            </w:r>
          </w:p>
        </w:tc>
        <w:tc>
          <w:tcPr>
            <w:tcW w:w="7353" w:type="dxa"/>
            <w:tcBorders>
              <w:top w:val="single" w:color="auto" w:sz="4" w:space="0"/>
              <w:left w:val="single" w:color="auto" w:sz="4" w:space="0"/>
              <w:bottom w:val="single" w:color="auto" w:sz="4" w:space="0"/>
              <w:right w:val="single" w:color="auto" w:sz="4" w:space="0"/>
            </w:tcBorders>
            <w:noWrap w:val="0"/>
            <w:vAlign w:val="center"/>
          </w:tcPr>
          <w:p w14:paraId="630D60EE">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□跨境诉讼</w:t>
            </w:r>
          </w:p>
          <w:p w14:paraId="2756EFB1">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□国际商事调解和仲裁</w:t>
            </w:r>
          </w:p>
          <w:p w14:paraId="2BF1B3B1">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□跨境投资并购</w:t>
            </w:r>
          </w:p>
          <w:p w14:paraId="008B4F70">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□国际证券资本市场</w:t>
            </w:r>
          </w:p>
          <w:p w14:paraId="49D1F82A">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□国际贸易及海关</w:t>
            </w:r>
          </w:p>
          <w:p w14:paraId="5BA70823">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□国际税法</w:t>
            </w:r>
          </w:p>
          <w:p w14:paraId="0F4DC86F">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□海事海商、航运金融</w:t>
            </w:r>
          </w:p>
          <w:p w14:paraId="1EEB20E6">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□国际工程</w:t>
            </w:r>
          </w:p>
          <w:p w14:paraId="66749E55">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□国际房地产开发</w:t>
            </w:r>
          </w:p>
          <w:p w14:paraId="01D375AB">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□国际知识产权：专利、商标、著作权、软件、域名、其他</w:t>
            </w:r>
          </w:p>
          <w:p w14:paraId="3E1CEC5A">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□国际金融、保险业务</w:t>
            </w:r>
          </w:p>
          <w:p w14:paraId="461746B6">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□跨境数据合规业务</w:t>
            </w:r>
          </w:p>
          <w:p w14:paraId="723C98E9">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□国际矿业、能源业务</w:t>
            </w:r>
          </w:p>
          <w:p w14:paraId="7FE30A17">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□国际ESG法律服务</w:t>
            </w:r>
          </w:p>
          <w:p w14:paraId="1489DD36">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□国际劳动用工</w:t>
            </w:r>
          </w:p>
          <w:p w14:paraId="5E47E659">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□反倾销和反补贴、WTO业务</w:t>
            </w:r>
          </w:p>
          <w:p w14:paraId="111D50DE">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□反垄断、反不正当竞争</w:t>
            </w:r>
          </w:p>
          <w:p w14:paraId="36C8D728">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□进出口管制和经济制裁</w:t>
            </w:r>
          </w:p>
          <w:p w14:paraId="4B6AC055">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□国家安全审查与地缘政治风险应对</w:t>
            </w:r>
          </w:p>
          <w:p w14:paraId="0B8FD6BC">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□反腐败</w:t>
            </w:r>
          </w:p>
          <w:p w14:paraId="0EF6016D">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□反洗钱、反恐怖主义融资</w:t>
            </w:r>
          </w:p>
          <w:p w14:paraId="794B4767">
            <w:pPr>
              <w:widowControl/>
              <w:autoSpaceDE w:val="0"/>
              <w:autoSpaceDN w:val="0"/>
              <w:snapToGrid w:val="0"/>
              <w:spacing w:line="340" w:lineRule="exact"/>
              <w:rPr>
                <w:rFonts w:ascii="华文仿宋" w:hAnsi="华文仿宋" w:eastAsia="华文仿宋"/>
                <w:szCs w:val="21"/>
              </w:rPr>
            </w:pPr>
            <w:r>
              <w:rPr>
                <w:rFonts w:hint="eastAsia" w:ascii="华文仿宋" w:hAnsi="华文仿宋" w:eastAsia="华文仿宋"/>
                <w:szCs w:val="21"/>
              </w:rPr>
              <w:t>□跨境破产与债务重组</w:t>
            </w:r>
          </w:p>
          <w:p w14:paraId="77EF25AC">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□跨境家族信托与财富传承</w:t>
            </w:r>
          </w:p>
        </w:tc>
      </w:tr>
      <w:tr w14:paraId="7720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70" w:type="dxa"/>
            <w:tcBorders>
              <w:top w:val="single" w:color="auto" w:sz="4" w:space="0"/>
              <w:left w:val="single" w:color="auto" w:sz="4" w:space="0"/>
              <w:bottom w:val="single" w:color="auto" w:sz="4" w:space="0"/>
              <w:right w:val="single" w:color="auto" w:sz="4" w:space="0"/>
            </w:tcBorders>
            <w:noWrap w:val="0"/>
            <w:vAlign w:val="center"/>
          </w:tcPr>
          <w:p w14:paraId="632D187C">
            <w:pPr>
              <w:spacing w:before="156" w:beforeLines="50" w:after="156" w:afterLines="50" w:line="360" w:lineRule="exact"/>
              <w:jc w:val="center"/>
              <w:rPr>
                <w:rFonts w:ascii="华文仿宋" w:hAnsi="华文仿宋" w:eastAsia="华文仿宋"/>
                <w:szCs w:val="21"/>
              </w:rPr>
            </w:pPr>
            <w:r>
              <w:rPr>
                <w:rFonts w:ascii="华文仿宋" w:hAnsi="华文仿宋" w:eastAsia="华文仿宋"/>
                <w:szCs w:val="21"/>
              </w:rPr>
              <w:t>产品</w:t>
            </w:r>
            <w:r>
              <w:rPr>
                <w:rFonts w:hint="eastAsia" w:ascii="华文仿宋" w:hAnsi="华文仿宋" w:eastAsia="华文仿宋"/>
                <w:szCs w:val="21"/>
              </w:rPr>
              <w:t>对应行业</w:t>
            </w:r>
          </w:p>
        </w:tc>
        <w:tc>
          <w:tcPr>
            <w:tcW w:w="7353" w:type="dxa"/>
            <w:tcBorders>
              <w:top w:val="single" w:color="auto" w:sz="4" w:space="0"/>
              <w:left w:val="single" w:color="auto" w:sz="4" w:space="0"/>
              <w:bottom w:val="single" w:color="auto" w:sz="4" w:space="0"/>
              <w:right w:val="single" w:color="auto" w:sz="4" w:space="0"/>
            </w:tcBorders>
            <w:noWrap w:val="0"/>
            <w:vAlign w:val="center"/>
          </w:tcPr>
          <w:p w14:paraId="46567AE4">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□农林牧渔业</w:t>
            </w:r>
          </w:p>
          <w:p w14:paraId="125213DF">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□采矿业</w:t>
            </w:r>
          </w:p>
          <w:p w14:paraId="3425CCF5">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□制造业</w:t>
            </w:r>
          </w:p>
          <w:p w14:paraId="2539B1D0">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□建筑业</w:t>
            </w:r>
          </w:p>
          <w:p w14:paraId="16C43E5A">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□批发零售业</w:t>
            </w:r>
          </w:p>
          <w:p w14:paraId="3477BDE2">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□交通运输、仓储和物流服务业</w:t>
            </w:r>
          </w:p>
          <w:p w14:paraId="67724E35">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□住宿和餐饮业</w:t>
            </w:r>
          </w:p>
          <w:p w14:paraId="1D1CEA1D">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□信息传输、软件和信息技术服务业</w:t>
            </w:r>
          </w:p>
          <w:p w14:paraId="5032DB5D">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□金融业（含资本市场服务）</w:t>
            </w:r>
          </w:p>
          <w:p w14:paraId="208E2803">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□房地产业</w:t>
            </w:r>
          </w:p>
          <w:p w14:paraId="7AA40038">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□租赁和商务服务业</w:t>
            </w:r>
          </w:p>
          <w:p w14:paraId="2C558A19">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□科学研究和技术服务业</w:t>
            </w:r>
          </w:p>
          <w:p w14:paraId="1062A8F1">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□节能环保清洁产业（含清洁生产、清洁能源）</w:t>
            </w:r>
          </w:p>
          <w:p w14:paraId="61233DF5">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□医疗卫生与健康服务</w:t>
            </w:r>
          </w:p>
          <w:p w14:paraId="7D428C53">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□文化、体育和娱乐业</w:t>
            </w:r>
          </w:p>
          <w:p w14:paraId="726CD65A">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□教育培训</w:t>
            </w:r>
          </w:p>
          <w:p w14:paraId="5988308D">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□集成电路</w:t>
            </w:r>
          </w:p>
          <w:p w14:paraId="63D195FF">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□生物医药（创新药物、高端医疗器械、生物技术服务等）</w:t>
            </w:r>
          </w:p>
          <w:p w14:paraId="48D3D924">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□人工智能（智能芯片、智能软件、自动驾驶、具身智能等）</w:t>
            </w:r>
          </w:p>
          <w:p w14:paraId="46537F77">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□电子信息</w:t>
            </w:r>
          </w:p>
          <w:p w14:paraId="3A127341">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□生命健康</w:t>
            </w:r>
          </w:p>
          <w:p w14:paraId="13A2BB0B">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□汽车</w:t>
            </w:r>
          </w:p>
          <w:p w14:paraId="67C20059">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□高端装备</w:t>
            </w:r>
          </w:p>
          <w:p w14:paraId="57116687">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□先进材料</w:t>
            </w:r>
          </w:p>
          <w:p w14:paraId="0E7EAAB6">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□时尚消费品</w:t>
            </w:r>
          </w:p>
          <w:p w14:paraId="0F74C82F">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□低空经济</w:t>
            </w:r>
          </w:p>
          <w:p w14:paraId="2F512285">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□未来产业（光子芯片与器件、基因与细胞技术、类脑智能、新型海洋经济、氢能与储能等）</w:t>
            </w:r>
          </w:p>
          <w:p w14:paraId="5EB2589D">
            <w:pPr>
              <w:widowControl/>
              <w:autoSpaceDE w:val="0"/>
              <w:autoSpaceDN w:val="0"/>
              <w:snapToGrid w:val="0"/>
              <w:spacing w:line="340" w:lineRule="exact"/>
              <w:rPr>
                <w:rFonts w:hint="eastAsia" w:ascii="华文仿宋" w:hAnsi="华文仿宋" w:eastAsia="华文仿宋"/>
                <w:szCs w:val="21"/>
              </w:rPr>
            </w:pPr>
            <w:r>
              <w:rPr>
                <w:rFonts w:hint="eastAsia" w:ascii="华文仿宋" w:hAnsi="华文仿宋" w:eastAsia="华文仿宋"/>
                <w:szCs w:val="21"/>
              </w:rPr>
              <w:t>□游戏和电竞</w:t>
            </w:r>
          </w:p>
        </w:tc>
      </w:tr>
    </w:tbl>
    <w:p w14:paraId="71BEB7A9">
      <w:pPr>
        <w:spacing w:after="160" w:line="560" w:lineRule="exact"/>
        <w:jc w:val="center"/>
        <w:rPr>
          <w:rFonts w:ascii="方正小标宋简体" w:hAnsi="方正小标宋简体" w:eastAsia="方正小标宋简体" w:cs="方正小标宋简体"/>
          <w:sz w:val="44"/>
          <w:szCs w:val="44"/>
        </w:rPr>
      </w:pPr>
    </w:p>
    <w:p w14:paraId="383B6C8B">
      <w:pPr>
        <w:adjustRightInd w:val="0"/>
        <w:snapToGrid w:val="0"/>
        <w:spacing w:line="360" w:lineRule="auto"/>
        <w:rPr>
          <w:rFonts w:hint="eastAsia" w:ascii="仿宋" w:hAnsi="仿宋" w:eastAsia="仿宋" w:cs="仿宋"/>
          <w:sz w:val="30"/>
          <w:szCs w:val="30"/>
        </w:rPr>
      </w:pPr>
      <w:bookmarkStart w:id="2" w:name="_GoBack"/>
      <w:bookmarkEnd w:id="2"/>
    </w:p>
    <w:p w14:paraId="1C8DB11D">
      <w:pPr>
        <w:adjustRightInd w:val="0"/>
        <w:snapToGrid w:val="0"/>
        <w:spacing w:line="360" w:lineRule="auto"/>
        <w:ind w:firstLine="600" w:firstLineChars="200"/>
        <w:rPr>
          <w:rFonts w:hint="eastAsia" w:ascii="仿宋" w:hAnsi="仿宋" w:eastAsia="仿宋" w:cs="仿宋"/>
          <w:sz w:val="30"/>
          <w:szCs w:val="30"/>
        </w:rPr>
      </w:pPr>
    </w:p>
    <w:p w14:paraId="49CFB26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4857124-4DCD-437A-8224-37FF7699E95C}"/>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CAD6CACD-8CDA-44D5-8BCA-6143DB41F01E}"/>
  </w:font>
  <w:font w:name="华文仿宋">
    <w:panose1 w:val="02010600040101010101"/>
    <w:charset w:val="86"/>
    <w:family w:val="auto"/>
    <w:pitch w:val="default"/>
    <w:sig w:usb0="00000287" w:usb1="080F0000" w:usb2="00000000" w:usb3="00000000" w:csb0="0004009F" w:csb1="DFD70000"/>
    <w:embedRegular r:id="rId3" w:fontKey="{F26E453A-B368-4E4E-A29F-323EACA02946}"/>
  </w:font>
  <w:font w:name="Garamond">
    <w:altName w:val="Times New Roman"/>
    <w:panose1 w:val="02020404030301010803"/>
    <w:charset w:val="00"/>
    <w:family w:val="roman"/>
    <w:pitch w:val="default"/>
    <w:sig w:usb0="00000000" w:usb1="00000000" w:usb2="00000000" w:usb3="00000000" w:csb0="0000009F" w:csb1="00000000"/>
    <w:embedRegular r:id="rId4" w:fontKey="{CCFE1E46-ADC5-4662-94E2-C213E90973E3}"/>
  </w:font>
  <w:font w:name="Wingdings 2">
    <w:altName w:val="Wingdings"/>
    <w:panose1 w:val="00000000000000000000"/>
    <w:charset w:val="00"/>
    <w:family w:val="decorative"/>
    <w:pitch w:val="default"/>
    <w:sig w:usb0="00000000" w:usb1="00000000" w:usb2="00000000" w:usb3="00000000" w:csb0="80000001" w:csb1="00000000"/>
    <w:embedRegular r:id="rId5" w:fontKey="{6554537A-DB8E-422B-A6CB-44283538B1A8}"/>
  </w:font>
  <w:font w:name="仿宋_GB2312">
    <w:panose1 w:val="02010609030101010101"/>
    <w:charset w:val="86"/>
    <w:family w:val="modern"/>
    <w:pitch w:val="default"/>
    <w:sig w:usb0="00000001" w:usb1="080E0000" w:usb2="00000000" w:usb3="00000000" w:csb0="00040000" w:csb1="00000000"/>
    <w:embedRegular r:id="rId6" w:fontKey="{C0E44A62-BA71-4448-AD28-33C0053B6CEF}"/>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chineseCounting"/>
      <w:suff w:val="nothing"/>
      <w:lvlText w:val="%1、"/>
      <w:lvlJc w:val="left"/>
      <w:rPr>
        <w:rFonts w:hint="eastAsia"/>
      </w:rPr>
    </w:lvl>
  </w:abstractNum>
  <w:abstractNum w:abstractNumId="1">
    <w:nsid w:val="163368FD"/>
    <w:multiLevelType w:val="multilevel"/>
    <w:tmpl w:val="163368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CFE4F8F"/>
    <w:multiLevelType w:val="multilevel"/>
    <w:tmpl w:val="2CFE4F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0BD5F9D"/>
    <w:multiLevelType w:val="multilevel"/>
    <w:tmpl w:val="40BD5F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4283C2A"/>
    <w:multiLevelType w:val="multilevel"/>
    <w:tmpl w:val="54283C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29"/>
    <w:rsid w:val="002645E7"/>
    <w:rsid w:val="00927F29"/>
    <w:rsid w:val="009A622A"/>
    <w:rsid w:val="00A85F82"/>
    <w:rsid w:val="00B2590C"/>
    <w:rsid w:val="28884DA9"/>
    <w:rsid w:val="4EDB6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uiPriority w:val="0"/>
    <w:pPr>
      <w:tabs>
        <w:tab w:val="center" w:pos="4153"/>
        <w:tab w:val="right" w:pos="8306"/>
      </w:tabs>
      <w:snapToGrid w:val="0"/>
      <w:jc w:val="left"/>
    </w:pPr>
    <w:rPr>
      <w:rFonts w:ascii="Times New Roman" w:hAnsi="Times New Roman" w:eastAsia="宋体" w:cs="Times New Roman"/>
      <w:sz w:val="18"/>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paragraph" w:customStyle="1" w:styleId="34">
    <w:name w:val="ds-markdown-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11</Pages>
  <Words>2421</Words>
  <Characters>2481</Characters>
  <Lines>17</Lines>
  <Paragraphs>5</Paragraphs>
  <TotalTime>0</TotalTime>
  <ScaleCrop>false</ScaleCrop>
  <LinksUpToDate>false</LinksUpToDate>
  <CharactersWithSpaces>2486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2026-04-16T03:28:00Z</dcterms:created>
  <dc:creator>宇汤</dc:creator>
  <cp:lastModifiedBy> Valen</cp:lastModifiedBy>
  <dcterms:modified xsi:type="dcterms:W3CDTF">2026-04-16T07:24:54Z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124364C89B0F4CC48CBF37C901B100B7_13</vt:lpwstr>
  </property>
  <property fmtid="{D5CDD505-2E9C-101B-9397-08002B2CF9AE}" pid="4" name="KSOTemplateDocerSaveRecord">
    <vt:lpwstr>eyJoZGlkIjoiNjg1ZGJlNmViZTQyMzZiMWY0YWE4MmNjMzZkZDk4NDYiLCJ1c2VySWQiOiI3Mzg2ODAyNTIifQ==</vt:lpwstr>
  </property>
</Properties>
</file>