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A30" w:rsidRPr="004C5832" w:rsidRDefault="00A70328" w:rsidP="004C5832">
      <w:pPr>
        <w:widowControl/>
        <w:pBdr>
          <w:top w:val="nil"/>
          <w:left w:val="nil"/>
          <w:bottom w:val="nil"/>
          <w:right w:val="nil"/>
          <w:between w:val="nil"/>
          <w:bar w:val="nil"/>
        </w:pBdr>
        <w:spacing w:beforeLines="50" w:before="156" w:afterLines="50" w:after="156" w:line="360" w:lineRule="auto"/>
        <w:jc w:val="center"/>
        <w:rPr>
          <w:rFonts w:ascii="楷体" w:eastAsia="楷体" w:hAnsi="楷体" w:cs="楷体" w:hint="eastAsia"/>
          <w:b/>
          <w:bCs/>
          <w:color w:val="000000"/>
          <w:kern w:val="0"/>
          <w:sz w:val="28"/>
          <w:szCs w:val="28"/>
          <w:u w:color="000000"/>
          <w:bdr w:val="nil"/>
        </w:rPr>
      </w:pPr>
      <w:r w:rsidRPr="004C5832">
        <w:rPr>
          <w:rFonts w:ascii="楷体" w:eastAsia="楷体" w:hAnsi="楷体" w:cs="楷体"/>
          <w:b/>
          <w:bCs/>
          <w:color w:val="000000"/>
          <w:kern w:val="0"/>
          <w:sz w:val="52"/>
          <w:szCs w:val="52"/>
          <w:u w:color="000000"/>
          <w:bdr w:val="nil"/>
        </w:rPr>
        <w:t>企业出海指南——新加坡篇</w:t>
      </w:r>
      <w:r w:rsidR="004C5832">
        <w:rPr>
          <w:rFonts w:ascii="楷体" w:eastAsia="楷体" w:hAnsi="楷体" w:cs="楷体"/>
          <w:b/>
          <w:bCs/>
          <w:color w:val="000000"/>
          <w:kern w:val="0"/>
          <w:sz w:val="52"/>
          <w:szCs w:val="52"/>
          <w:u w:color="000000"/>
          <w:bdr w:val="nil"/>
        </w:rPr>
        <w:br/>
      </w:r>
      <w:r w:rsidR="004C5832">
        <w:rPr>
          <w:rFonts w:ascii="楷体" w:eastAsia="楷体" w:hAnsi="楷体" w:cs="楷体"/>
          <w:b/>
          <w:bCs/>
          <w:color w:val="000000"/>
          <w:kern w:val="0"/>
          <w:sz w:val="52"/>
          <w:szCs w:val="52"/>
          <w:u w:color="000000"/>
          <w:bdr w:val="nil"/>
        </w:rPr>
        <w:br/>
      </w:r>
      <w:r w:rsidR="00F01A30" w:rsidRPr="004C5832">
        <w:rPr>
          <w:rFonts w:ascii="楷体" w:eastAsia="楷体" w:hAnsi="楷体" w:cs="楷体" w:hint="eastAsia"/>
          <w:b/>
          <w:bCs/>
          <w:color w:val="000000"/>
          <w:kern w:val="0"/>
          <w:sz w:val="28"/>
          <w:szCs w:val="28"/>
          <w:u w:color="000000"/>
          <w:bdr w:val="nil"/>
        </w:rPr>
        <w:t>所在单位：</w:t>
      </w:r>
      <w:r w:rsidR="0036365A" w:rsidRPr="004C5832">
        <w:rPr>
          <w:rFonts w:ascii="楷体" w:eastAsia="楷体" w:hAnsi="楷体" w:cs="楷体" w:hint="eastAsia"/>
          <w:b/>
          <w:bCs/>
          <w:color w:val="000000"/>
          <w:kern w:val="0"/>
          <w:sz w:val="28"/>
          <w:szCs w:val="28"/>
          <w:u w:color="000000"/>
          <w:bdr w:val="nil"/>
        </w:rPr>
        <w:t>上海澄明则正律师事务所</w:t>
      </w:r>
    </w:p>
    <w:p w:rsidR="00F01A30" w:rsidRPr="004C5832" w:rsidRDefault="00F01A30" w:rsidP="004C5832">
      <w:pPr>
        <w:widowControl/>
        <w:pBdr>
          <w:top w:val="nil"/>
          <w:left w:val="nil"/>
          <w:bottom w:val="nil"/>
          <w:right w:val="nil"/>
          <w:between w:val="nil"/>
          <w:bar w:val="nil"/>
        </w:pBdr>
        <w:spacing w:beforeLines="50" w:before="156" w:afterLines="50" w:after="156" w:line="360" w:lineRule="auto"/>
        <w:jc w:val="center"/>
        <w:rPr>
          <w:rFonts w:ascii="楷体" w:eastAsia="楷体" w:hAnsi="楷体" w:cs="楷体" w:hint="eastAsia"/>
          <w:b/>
          <w:bCs/>
          <w:color w:val="000000"/>
          <w:kern w:val="0"/>
          <w:sz w:val="28"/>
          <w:szCs w:val="28"/>
          <w:u w:color="000000"/>
          <w:bdr w:val="nil"/>
        </w:rPr>
      </w:pPr>
      <w:r w:rsidRPr="004C5832">
        <w:rPr>
          <w:rFonts w:ascii="楷体" w:eastAsia="楷体" w:hAnsi="楷体" w:cs="楷体" w:hint="eastAsia"/>
          <w:b/>
          <w:bCs/>
          <w:color w:val="000000"/>
          <w:kern w:val="0"/>
          <w:sz w:val="28"/>
          <w:szCs w:val="28"/>
          <w:u w:color="000000"/>
          <w:bdr w:val="nil"/>
        </w:rPr>
        <w:t>作者：</w:t>
      </w:r>
      <w:r w:rsidR="0036365A" w:rsidRPr="004C5832">
        <w:rPr>
          <w:rFonts w:ascii="楷体" w:eastAsia="楷体" w:hAnsi="楷体" w:cs="楷体" w:hint="eastAsia"/>
          <w:b/>
          <w:bCs/>
          <w:color w:val="000000"/>
          <w:kern w:val="0"/>
          <w:sz w:val="28"/>
          <w:szCs w:val="28"/>
          <w:u w:color="000000"/>
          <w:bdr w:val="nil"/>
        </w:rPr>
        <w:t>澄明律师</w:t>
      </w:r>
    </w:p>
    <w:p w:rsidR="00F01A30" w:rsidRPr="004853F4" w:rsidRDefault="00F01A30" w:rsidP="00F01A30">
      <w:pPr>
        <w:adjustRightInd w:val="0"/>
        <w:snapToGrid w:val="0"/>
        <w:spacing w:line="360" w:lineRule="auto"/>
        <w:ind w:firstLineChars="200" w:firstLine="482"/>
        <w:jc w:val="center"/>
        <w:rPr>
          <w:rFonts w:ascii="KaiTi" w:eastAsia="KaiTi" w:hAnsi="KaiTi" w:cs="宋体" w:hint="eastAsia"/>
          <w:b/>
          <w:bCs/>
          <w:sz w:val="24"/>
        </w:rPr>
      </w:pPr>
    </w:p>
    <w:p w:rsidR="00F01A30" w:rsidRPr="004853F4" w:rsidRDefault="00F01A30" w:rsidP="00F01A30">
      <w:pPr>
        <w:numPr>
          <w:ilvl w:val="0"/>
          <w:numId w:val="2"/>
        </w:numPr>
        <w:adjustRightInd w:val="0"/>
        <w:snapToGrid w:val="0"/>
        <w:spacing w:line="360" w:lineRule="auto"/>
        <w:ind w:firstLineChars="200" w:firstLine="482"/>
        <w:rPr>
          <w:rFonts w:ascii="KaiTi" w:eastAsia="KaiTi" w:hAnsi="KaiTi" w:cs="仿宋" w:hint="eastAsia"/>
          <w:bCs/>
          <w:sz w:val="24"/>
        </w:rPr>
      </w:pPr>
      <w:r w:rsidRPr="004853F4">
        <w:rPr>
          <w:rFonts w:ascii="KaiTi" w:eastAsia="KaiTi" w:hAnsi="KaiTi" w:cs="仿宋" w:hint="eastAsia"/>
          <w:b/>
          <w:bCs/>
          <w:sz w:val="24"/>
        </w:rPr>
        <w:t>摘要</w:t>
      </w:r>
      <w:r w:rsidR="0036365A" w:rsidRPr="004853F4">
        <w:rPr>
          <w:rFonts w:ascii="KaiTi" w:eastAsia="KaiTi" w:hAnsi="KaiTi" w:cs="仿宋"/>
          <w:b/>
          <w:bCs/>
          <w:sz w:val="24"/>
        </w:rPr>
        <w:br/>
      </w:r>
      <w:r w:rsidR="0036365A" w:rsidRPr="004853F4">
        <w:rPr>
          <w:rFonts w:ascii="KaiTi" w:eastAsia="KaiTi" w:hAnsi="KaiTi" w:cs="仿宋" w:hint="eastAsia"/>
          <w:bCs/>
          <w:sz w:val="24"/>
        </w:rPr>
        <w:t>新加坡作为全球重要的金融中心、贸易枢纽和科技创新高地，凭借其稳定的政治环境、优越的区位优势、完善的法律体系及对外资的国民待遇，已成为中国企业出海的首选目的地之一。本文从外资准入、公司设立、行业许可、知识产权保护、劳动用工、税务制度、数据合</w:t>
      </w:r>
      <w:proofErr w:type="gramStart"/>
      <w:r w:rsidR="0036365A" w:rsidRPr="004853F4">
        <w:rPr>
          <w:rFonts w:ascii="KaiTi" w:eastAsia="KaiTi" w:hAnsi="KaiTi" w:cs="仿宋" w:hint="eastAsia"/>
          <w:bCs/>
          <w:sz w:val="24"/>
        </w:rPr>
        <w:t>规</w:t>
      </w:r>
      <w:proofErr w:type="gramEnd"/>
      <w:r w:rsidR="0036365A" w:rsidRPr="004853F4">
        <w:rPr>
          <w:rFonts w:ascii="KaiTi" w:eastAsia="KaiTi" w:hAnsi="KaiTi" w:cs="仿宋" w:hint="eastAsia"/>
          <w:bCs/>
          <w:sz w:val="24"/>
        </w:rPr>
        <w:t>、进出口管制及环境保护九个维度，系统梳理新加坡的法律框架与监管要求。文章指出，新加坡对外资总体开放，但在广播、印刷媒体、住宅房地产及农业投资等领域存在特定限制；公司设立形式多样，需根据业务性质选择合适的实体类型；知识产权保护制度完善，但保护期与中国存在差异；劳动用工方面对外籍员工准证管理严格，雇主需关注配额与税收政策；数据保护法与中国</w:t>
      </w:r>
      <w:proofErr w:type="gramStart"/>
      <w:r w:rsidR="0036365A" w:rsidRPr="004853F4">
        <w:rPr>
          <w:rFonts w:ascii="KaiTi" w:eastAsia="KaiTi" w:hAnsi="KaiTi" w:cs="仿宋" w:hint="eastAsia"/>
          <w:bCs/>
          <w:sz w:val="24"/>
        </w:rPr>
        <w:t>个</w:t>
      </w:r>
      <w:proofErr w:type="gramEnd"/>
      <w:r w:rsidR="0036365A" w:rsidRPr="004853F4">
        <w:rPr>
          <w:rFonts w:ascii="KaiTi" w:eastAsia="KaiTi" w:hAnsi="KaiTi" w:cs="仿宋" w:hint="eastAsia"/>
          <w:bCs/>
          <w:sz w:val="24"/>
        </w:rPr>
        <w:t>保法有相似之处，亦存在重要差异。建议出海企业提前进行法律尽职调查，合理设计投资架构，确保持续合</w:t>
      </w:r>
      <w:proofErr w:type="gramStart"/>
      <w:r w:rsidR="0036365A" w:rsidRPr="004853F4">
        <w:rPr>
          <w:rFonts w:ascii="KaiTi" w:eastAsia="KaiTi" w:hAnsi="KaiTi" w:cs="仿宋" w:hint="eastAsia"/>
          <w:bCs/>
          <w:sz w:val="24"/>
        </w:rPr>
        <w:t>规</w:t>
      </w:r>
      <w:proofErr w:type="gramEnd"/>
      <w:r w:rsidR="0036365A" w:rsidRPr="004853F4">
        <w:rPr>
          <w:rFonts w:ascii="KaiTi" w:eastAsia="KaiTi" w:hAnsi="KaiTi" w:cs="仿宋" w:hint="eastAsia"/>
          <w:bCs/>
          <w:sz w:val="24"/>
        </w:rPr>
        <w:t>运营。</w:t>
      </w:r>
    </w:p>
    <w:p w:rsidR="00F01A30" w:rsidRPr="004853F4" w:rsidRDefault="00F01A30" w:rsidP="00F01A30">
      <w:pPr>
        <w:numPr>
          <w:ilvl w:val="0"/>
          <w:numId w:val="2"/>
        </w:numPr>
        <w:adjustRightInd w:val="0"/>
        <w:snapToGrid w:val="0"/>
        <w:spacing w:line="360" w:lineRule="auto"/>
        <w:ind w:firstLineChars="200" w:firstLine="482"/>
        <w:rPr>
          <w:rFonts w:ascii="KaiTi" w:eastAsia="KaiTi" w:hAnsi="KaiTi" w:cs="仿宋" w:hint="eastAsia"/>
          <w:b/>
          <w:bCs/>
          <w:sz w:val="24"/>
        </w:rPr>
      </w:pPr>
      <w:r w:rsidRPr="004853F4">
        <w:rPr>
          <w:rFonts w:ascii="KaiTi" w:eastAsia="KaiTi" w:hAnsi="KaiTi" w:cs="仿宋" w:hint="eastAsia"/>
          <w:b/>
          <w:bCs/>
          <w:sz w:val="24"/>
        </w:rPr>
        <w:t>关键词</w:t>
      </w:r>
      <w:r w:rsidR="0036365A" w:rsidRPr="004853F4">
        <w:rPr>
          <w:rFonts w:ascii="KaiTi" w:eastAsia="KaiTi" w:hAnsi="KaiTi" w:cs="仿宋"/>
          <w:b/>
          <w:bCs/>
          <w:sz w:val="24"/>
        </w:rPr>
        <w:br/>
      </w:r>
      <w:r w:rsidR="0036365A" w:rsidRPr="004853F4">
        <w:rPr>
          <w:rFonts w:ascii="KaiTi" w:eastAsia="KaiTi" w:hAnsi="KaiTi" w:cs="仿宋" w:hint="eastAsia"/>
          <w:bCs/>
          <w:sz w:val="24"/>
        </w:rPr>
        <w:t>新加坡；外资准入；公司设立；数据保护；劳动用工；税务合</w:t>
      </w:r>
      <w:proofErr w:type="gramStart"/>
      <w:r w:rsidR="0036365A" w:rsidRPr="004853F4">
        <w:rPr>
          <w:rFonts w:ascii="KaiTi" w:eastAsia="KaiTi" w:hAnsi="KaiTi" w:cs="仿宋" w:hint="eastAsia"/>
          <w:bCs/>
          <w:sz w:val="24"/>
        </w:rPr>
        <w:t>规</w:t>
      </w:r>
      <w:proofErr w:type="gramEnd"/>
    </w:p>
    <w:p w:rsidR="00F01A30" w:rsidRPr="004853F4" w:rsidRDefault="00F01A30" w:rsidP="00F01A30">
      <w:pPr>
        <w:numPr>
          <w:ilvl w:val="0"/>
          <w:numId w:val="2"/>
        </w:numPr>
        <w:adjustRightInd w:val="0"/>
        <w:snapToGrid w:val="0"/>
        <w:spacing w:line="360" w:lineRule="auto"/>
        <w:ind w:firstLineChars="200" w:firstLine="482"/>
        <w:rPr>
          <w:rFonts w:ascii="KaiTi" w:eastAsia="KaiTi" w:hAnsi="KaiTi" w:cs="仿宋" w:hint="eastAsia"/>
          <w:b/>
          <w:bCs/>
          <w:sz w:val="24"/>
        </w:rPr>
      </w:pPr>
      <w:r w:rsidRPr="004853F4">
        <w:rPr>
          <w:rFonts w:ascii="KaiTi" w:eastAsia="KaiTi" w:hAnsi="KaiTi" w:cs="仿宋" w:hint="eastAsia"/>
          <w:b/>
          <w:bCs/>
          <w:sz w:val="24"/>
        </w:rPr>
        <w:t>正文</w:t>
      </w:r>
    </w:p>
    <w:p w:rsidR="00F01A30" w:rsidRPr="004853F4" w:rsidRDefault="00F01A30" w:rsidP="00F01A30">
      <w:pPr>
        <w:adjustRightInd w:val="0"/>
        <w:snapToGrid w:val="0"/>
        <w:spacing w:line="360" w:lineRule="auto"/>
        <w:ind w:firstLineChars="200" w:firstLine="480"/>
        <w:rPr>
          <w:rFonts w:ascii="KaiTi" w:eastAsia="KaiTi" w:hAnsi="KaiTi" w:cs="仿宋" w:hint="eastAsia"/>
          <w:sz w:val="24"/>
        </w:rPr>
      </w:pPr>
      <w:r w:rsidRPr="004853F4">
        <w:rPr>
          <w:rFonts w:ascii="KaiTi" w:eastAsia="KaiTi" w:hAnsi="KaiTi" w:cs="仿宋" w:hint="eastAsia"/>
          <w:sz w:val="24"/>
        </w:rPr>
        <w:t>作者：</w:t>
      </w:r>
      <w:r w:rsidR="0036365A" w:rsidRPr="004853F4">
        <w:rPr>
          <w:rFonts w:ascii="KaiTi" w:eastAsia="KaiTi" w:hAnsi="KaiTi" w:cs="仿宋" w:hint="eastAsia"/>
          <w:sz w:val="24"/>
        </w:rPr>
        <w:t>澄明律师</w:t>
      </w:r>
    </w:p>
    <w:p w:rsidR="00F01A30" w:rsidRPr="004853F4" w:rsidRDefault="00F01A30" w:rsidP="00F01A30">
      <w:pPr>
        <w:adjustRightInd w:val="0"/>
        <w:snapToGrid w:val="0"/>
        <w:spacing w:line="360" w:lineRule="auto"/>
        <w:ind w:firstLineChars="200" w:firstLine="480"/>
        <w:rPr>
          <w:rFonts w:ascii="KaiTi" w:eastAsia="KaiTi" w:hAnsi="KaiTi" w:cs="仿宋" w:hint="eastAsia"/>
          <w:sz w:val="24"/>
        </w:rPr>
      </w:pPr>
      <w:r w:rsidRPr="004853F4">
        <w:rPr>
          <w:rFonts w:ascii="KaiTi" w:eastAsia="KaiTi" w:hAnsi="KaiTi" w:cs="仿宋" w:hint="eastAsia"/>
          <w:sz w:val="24"/>
        </w:rPr>
        <w:t>免责声明：本文系作者个人观点，不代表</w:t>
      </w:r>
      <w:proofErr w:type="gramStart"/>
      <w:r w:rsidRPr="004853F4">
        <w:rPr>
          <w:rFonts w:ascii="KaiTi" w:eastAsia="KaiTi" w:hAnsi="KaiTi" w:cs="仿宋" w:hint="eastAsia"/>
          <w:sz w:val="24"/>
        </w:rPr>
        <w:t>本公众号</w:t>
      </w:r>
      <w:proofErr w:type="gramEnd"/>
      <w:r w:rsidRPr="004853F4">
        <w:rPr>
          <w:rFonts w:ascii="KaiTi" w:eastAsia="KaiTi" w:hAnsi="KaiTi" w:cs="仿宋" w:hint="eastAsia"/>
          <w:sz w:val="24"/>
        </w:rPr>
        <w:t>立场</w:t>
      </w:r>
    </w:p>
    <w:p w:rsidR="00F01A30" w:rsidRPr="004853F4" w:rsidRDefault="00F01A30" w:rsidP="00F01A30">
      <w:pPr>
        <w:adjustRightInd w:val="0"/>
        <w:snapToGrid w:val="0"/>
        <w:spacing w:line="360" w:lineRule="auto"/>
        <w:ind w:firstLineChars="200" w:firstLine="482"/>
        <w:rPr>
          <w:rFonts w:ascii="KaiTi" w:eastAsia="KaiTi" w:hAnsi="KaiTi" w:cs="仿宋"/>
          <w:b/>
          <w:bCs/>
          <w:sz w:val="24"/>
        </w:rPr>
      </w:pPr>
      <w:r w:rsidRPr="004853F4">
        <w:rPr>
          <w:rFonts w:ascii="KaiTi" w:eastAsia="KaiTi" w:hAnsi="KaiTi" w:cs="仿宋" w:hint="eastAsia"/>
          <w:b/>
          <w:bCs/>
          <w:sz w:val="24"/>
        </w:rPr>
        <w:t>（标签）</w:t>
      </w:r>
    </w:p>
    <w:p w:rsidR="004853F4" w:rsidRPr="004853F4" w:rsidRDefault="0036365A" w:rsidP="0036365A">
      <w:pPr>
        <w:adjustRightInd w:val="0"/>
        <w:snapToGrid w:val="0"/>
        <w:spacing w:line="360" w:lineRule="auto"/>
        <w:ind w:leftChars="200" w:left="420"/>
        <w:rPr>
          <w:rFonts w:ascii="KaiTi" w:eastAsia="KaiTi" w:hAnsi="KaiTi" w:cs="仿宋"/>
          <w:sz w:val="24"/>
        </w:rPr>
      </w:pPr>
      <w:r w:rsidRPr="004853F4">
        <w:rPr>
          <w:rFonts w:ascii="KaiTi" w:eastAsia="KaiTi" w:hAnsi="KaiTi" w:cs="仿宋" w:hint="eastAsia"/>
          <w:sz w:val="24"/>
        </w:rPr>
        <w:t>主要服务国家或地区：新加坡</w:t>
      </w:r>
      <w:r w:rsidRPr="004853F4">
        <w:rPr>
          <w:rFonts w:ascii="KaiTi" w:eastAsia="KaiTi" w:hAnsi="KaiTi" w:cs="仿宋"/>
          <w:sz w:val="24"/>
        </w:rPr>
        <w:br/>
        <w:t>产品</w:t>
      </w:r>
      <w:r w:rsidRPr="004853F4">
        <w:rPr>
          <w:rFonts w:ascii="KaiTi" w:eastAsia="KaiTi" w:hAnsi="KaiTi" w:cs="仿宋" w:hint="eastAsia"/>
          <w:sz w:val="24"/>
        </w:rPr>
        <w:t>专业</w:t>
      </w:r>
      <w:r w:rsidRPr="004853F4">
        <w:rPr>
          <w:rFonts w:ascii="KaiTi" w:eastAsia="KaiTi" w:hAnsi="KaiTi" w:cs="仿宋"/>
          <w:sz w:val="24"/>
        </w:rPr>
        <w:t>类型</w:t>
      </w:r>
      <w:r w:rsidRPr="004853F4">
        <w:rPr>
          <w:rFonts w:ascii="KaiTi" w:eastAsia="KaiTi" w:hAnsi="KaiTi" w:cs="仿宋" w:hint="eastAsia"/>
          <w:sz w:val="24"/>
        </w:rPr>
        <w:t>：</w:t>
      </w:r>
      <w:r w:rsidR="007B23C8" w:rsidRPr="004853F4">
        <w:rPr>
          <w:rFonts w:ascii="KaiTi" w:eastAsia="KaiTi" w:hAnsi="KaiTi" w:cs="仿宋" w:hint="eastAsia"/>
          <w:sz w:val="24"/>
        </w:rPr>
        <w:t>国际证券资本市场</w:t>
      </w:r>
      <w:r w:rsidR="007B23C8" w:rsidRPr="004853F4">
        <w:rPr>
          <w:rFonts w:ascii="KaiTi" w:eastAsia="KaiTi" w:hAnsi="KaiTi" w:cs="仿宋"/>
          <w:sz w:val="24"/>
        </w:rPr>
        <w:br/>
        <w:t>产品</w:t>
      </w:r>
      <w:r w:rsidR="007B23C8" w:rsidRPr="004853F4">
        <w:rPr>
          <w:rFonts w:ascii="KaiTi" w:eastAsia="KaiTi" w:hAnsi="KaiTi" w:cs="仿宋" w:hint="eastAsia"/>
          <w:sz w:val="24"/>
        </w:rPr>
        <w:t>对应行业：金融业（含资本市场服务）</w:t>
      </w:r>
    </w:p>
    <w:sdt>
      <w:sdtPr>
        <w:rPr>
          <w:lang w:val="zh-CN"/>
        </w:rPr>
        <w:id w:val="1160126935"/>
        <w:docPartObj>
          <w:docPartGallery w:val="Table of Contents"/>
          <w:docPartUnique/>
        </w:docPartObj>
      </w:sdtPr>
      <w:sdtEndPr>
        <w:rPr>
          <w:rFonts w:ascii="Calibri" w:eastAsia="宋体" w:hAnsi="Calibri" w:cs="Times New Roman"/>
          <w:b/>
          <w:bCs/>
          <w:color w:val="auto"/>
          <w:kern w:val="2"/>
          <w:sz w:val="21"/>
          <w:szCs w:val="24"/>
        </w:rPr>
      </w:sdtEndPr>
      <w:sdtContent>
        <w:p w:rsidR="002C4117" w:rsidRPr="002C4117" w:rsidRDefault="002C4117">
          <w:pPr>
            <w:pStyle w:val="TOC"/>
            <w:rPr>
              <w:rFonts w:ascii="KaiTi" w:eastAsia="KaiTi" w:hAnsi="KaiTi" w:hint="eastAsia"/>
              <w:sz w:val="24"/>
              <w:szCs w:val="24"/>
            </w:rPr>
          </w:pPr>
        </w:p>
        <w:p w:rsidR="002C4117" w:rsidRPr="002C4117" w:rsidRDefault="002C4117">
          <w:pPr>
            <w:pStyle w:val="TOC1"/>
            <w:tabs>
              <w:tab w:val="right" w:leader="dot" w:pos="8296"/>
            </w:tabs>
            <w:rPr>
              <w:rFonts w:ascii="KaiTi" w:eastAsia="KaiTi" w:hAnsi="KaiTi" w:cstheme="minorBidi"/>
              <w:noProof/>
              <w:sz w:val="24"/>
            </w:rPr>
          </w:pPr>
          <w:r w:rsidRPr="002C4117">
            <w:rPr>
              <w:rFonts w:ascii="KaiTi" w:eastAsia="KaiTi" w:hAnsi="KaiTi"/>
              <w:sz w:val="24"/>
            </w:rPr>
            <w:fldChar w:fldCharType="begin"/>
          </w:r>
          <w:r w:rsidRPr="002C4117">
            <w:rPr>
              <w:rFonts w:ascii="KaiTi" w:eastAsia="KaiTi" w:hAnsi="KaiTi"/>
              <w:sz w:val="24"/>
            </w:rPr>
            <w:instrText xml:space="preserve"> TOC \o "1-3" \h \z \u </w:instrText>
          </w:r>
          <w:r w:rsidRPr="002C4117">
            <w:rPr>
              <w:rFonts w:ascii="KaiTi" w:eastAsia="KaiTi" w:hAnsi="KaiTi"/>
              <w:sz w:val="24"/>
            </w:rPr>
            <w:fldChar w:fldCharType="separate"/>
          </w:r>
          <w:hyperlink w:anchor="_Toc228187420" w:history="1">
            <w:r w:rsidRPr="002C4117">
              <w:rPr>
                <w:rStyle w:val="a9"/>
                <w:rFonts w:ascii="KaiTi" w:eastAsia="KaiTi" w:hAnsi="KaiTi" w:cs="楷体"/>
                <w:b/>
                <w:bCs/>
                <w:noProof/>
                <w:kern w:val="0"/>
                <w:sz w:val="24"/>
                <w:bdr w:val="nil"/>
              </w:rPr>
              <w:t>一、国家概述</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_Toc228187420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3</w:t>
            </w:r>
            <w:r w:rsidRPr="002C4117">
              <w:rPr>
                <w:rFonts w:ascii="KaiTi" w:eastAsia="KaiTi" w:hAnsi="KaiTi"/>
                <w:noProof/>
                <w:webHidden/>
                <w:sz w:val="24"/>
              </w:rPr>
              <w:fldChar w:fldCharType="end"/>
            </w:r>
          </w:hyperlink>
        </w:p>
        <w:p w:rsidR="002C4117" w:rsidRPr="002C4117" w:rsidRDefault="002C4117">
          <w:pPr>
            <w:pStyle w:val="TOC1"/>
            <w:tabs>
              <w:tab w:val="left" w:pos="840"/>
              <w:tab w:val="right" w:leader="dot" w:pos="8296"/>
            </w:tabs>
            <w:rPr>
              <w:rFonts w:ascii="KaiTi" w:eastAsia="KaiTi" w:hAnsi="KaiTi" w:cstheme="minorBidi"/>
              <w:noProof/>
              <w:sz w:val="24"/>
            </w:rPr>
          </w:pPr>
          <w:hyperlink w:anchor="_Toc228187421" w:history="1">
            <w:r w:rsidRPr="002C4117">
              <w:rPr>
                <w:rStyle w:val="a9"/>
                <w:rFonts w:ascii="KaiTi" w:eastAsia="KaiTi" w:hAnsi="KaiTi" w:cs="楷体"/>
                <w:b/>
                <w:noProof/>
                <w:sz w:val="24"/>
                <w:bdr w:val="nil"/>
              </w:rPr>
              <w:t>二、</w:t>
            </w:r>
            <w:r w:rsidRPr="002C4117">
              <w:rPr>
                <w:rFonts w:ascii="KaiTi" w:eastAsia="KaiTi" w:hAnsi="KaiTi" w:cstheme="minorBidi"/>
                <w:noProof/>
                <w:sz w:val="24"/>
              </w:rPr>
              <w:tab/>
            </w:r>
            <w:r w:rsidRPr="002C4117">
              <w:rPr>
                <w:rStyle w:val="a9"/>
                <w:rFonts w:ascii="KaiTi" w:eastAsia="KaiTi" w:hAnsi="KaiTi" w:cs="楷体"/>
                <w:b/>
                <w:noProof/>
                <w:sz w:val="24"/>
                <w:bdr w:val="nil"/>
              </w:rPr>
              <w:t xml:space="preserve">投资制度 </w:t>
            </w:r>
            <w:r w:rsidRPr="002C4117">
              <w:rPr>
                <w:rStyle w:val="a9"/>
                <w:rFonts w:ascii="KaiTi" w:eastAsia="KaiTi" w:hAnsi="KaiTi"/>
                <w:b/>
                <w:noProof/>
                <w:sz w:val="24"/>
              </w:rPr>
              <w:t>外资准入</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_Toc228187421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4</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22" w:history="1">
            <w:r w:rsidRPr="002C4117">
              <w:rPr>
                <w:rStyle w:val="a9"/>
                <w:rFonts w:ascii="KaiTi" w:eastAsia="KaiTi" w:hAnsi="KaiTi" w:cs="楷体"/>
                <w:b/>
                <w:noProof/>
                <w:sz w:val="24"/>
                <w:bdr w:val="nil"/>
              </w:rPr>
              <w:t>三、</w:t>
            </w:r>
            <w:r w:rsidRPr="002C4117">
              <w:rPr>
                <w:rFonts w:ascii="KaiTi" w:eastAsia="KaiTi" w:hAnsi="KaiTi" w:cstheme="minorBidi"/>
                <w:noProof/>
                <w:sz w:val="24"/>
              </w:rPr>
              <w:tab/>
            </w:r>
            <w:r w:rsidRPr="002C4117">
              <w:rPr>
                <w:rStyle w:val="a9"/>
                <w:rFonts w:ascii="KaiTi" w:eastAsia="KaiTi" w:hAnsi="KaiTi" w:cs="楷体"/>
                <w:b/>
                <w:noProof/>
                <w:sz w:val="24"/>
                <w:bdr w:val="nil"/>
              </w:rPr>
              <w:t>公司设立</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_Toc228187422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5</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23" w:history="1">
            <w:r w:rsidRPr="002C4117">
              <w:rPr>
                <w:rStyle w:val="a9"/>
                <w:rFonts w:ascii="KaiTi" w:eastAsia="KaiTi" w:hAnsi="KaiTi" w:cs="楷体"/>
                <w:b/>
                <w:noProof/>
                <w:sz w:val="24"/>
                <w:bdr w:val="nil"/>
              </w:rPr>
              <w:t>四、</w:t>
            </w:r>
            <w:r w:rsidRPr="002C4117">
              <w:rPr>
                <w:rFonts w:ascii="KaiTi" w:eastAsia="KaiTi" w:hAnsi="KaiTi" w:cstheme="minorBidi"/>
                <w:noProof/>
                <w:sz w:val="24"/>
              </w:rPr>
              <w:tab/>
            </w:r>
            <w:r w:rsidRPr="002C4117">
              <w:rPr>
                <w:rStyle w:val="a9"/>
                <w:rFonts w:ascii="KaiTi" w:eastAsia="KaiTi" w:hAnsi="KaiTi" w:cs="楷体"/>
                <w:b/>
                <w:noProof/>
                <w:sz w:val="24"/>
                <w:bdr w:val="nil"/>
              </w:rPr>
              <w:t>行业限制（证照）</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_Toc228187423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7</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24" w:history="1">
            <w:r w:rsidRPr="002C4117">
              <w:rPr>
                <w:rStyle w:val="a9"/>
                <w:rFonts w:ascii="KaiTi" w:eastAsia="KaiTi" w:hAnsi="KaiTi" w:cs="楷体"/>
                <w:b/>
                <w:noProof/>
                <w:sz w:val="24"/>
                <w:bdr w:val="nil"/>
              </w:rPr>
              <w:t>五、</w:t>
            </w:r>
            <w:r w:rsidRPr="002C4117">
              <w:rPr>
                <w:rFonts w:ascii="KaiTi" w:eastAsia="KaiTi" w:hAnsi="KaiTi" w:cstheme="minorBidi"/>
                <w:noProof/>
                <w:sz w:val="24"/>
              </w:rPr>
              <w:tab/>
            </w:r>
            <w:r w:rsidRPr="002C4117">
              <w:rPr>
                <w:rStyle w:val="a9"/>
                <w:rFonts w:ascii="KaiTi" w:eastAsia="KaiTi" w:hAnsi="KaiTi" w:cs="楷体"/>
                <w:b/>
                <w:noProof/>
                <w:sz w:val="24"/>
                <w:bdr w:val="nil"/>
              </w:rPr>
              <w:t>知识产权</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_Toc228187424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9</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25" w:history="1">
            <w:r w:rsidRPr="002C4117">
              <w:rPr>
                <w:rStyle w:val="a9"/>
                <w:rFonts w:ascii="KaiTi" w:eastAsia="KaiTi" w:hAnsi="KaiTi" w:cs="楷体"/>
                <w:b/>
                <w:noProof/>
                <w:sz w:val="24"/>
                <w:bdr w:val="nil"/>
              </w:rPr>
              <w:t>六、</w:t>
            </w:r>
            <w:r w:rsidRPr="002C4117">
              <w:rPr>
                <w:rFonts w:ascii="KaiTi" w:eastAsia="KaiTi" w:hAnsi="KaiTi" w:cstheme="minorBidi"/>
                <w:noProof/>
                <w:sz w:val="24"/>
              </w:rPr>
              <w:tab/>
            </w:r>
            <w:r w:rsidRPr="002C4117">
              <w:rPr>
                <w:rStyle w:val="a9"/>
                <w:rFonts w:ascii="KaiTi" w:eastAsia="KaiTi" w:hAnsi="KaiTi" w:cs="楷体"/>
                <w:b/>
                <w:noProof/>
                <w:sz w:val="24"/>
                <w:bdr w:val="nil"/>
              </w:rPr>
              <w:t>劳动用工</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_Toc228187425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12</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26" w:history="1">
            <w:r w:rsidRPr="002C4117">
              <w:rPr>
                <w:rStyle w:val="a9"/>
                <w:rFonts w:ascii="KaiTi" w:eastAsia="KaiTi" w:hAnsi="KaiTi" w:cs="楷体"/>
                <w:b/>
                <w:noProof/>
                <w:sz w:val="24"/>
                <w:bdr w:val="nil"/>
              </w:rPr>
              <w:t>七、</w:t>
            </w:r>
            <w:r w:rsidRPr="002C4117">
              <w:rPr>
                <w:rFonts w:ascii="KaiTi" w:eastAsia="KaiTi" w:hAnsi="KaiTi" w:cstheme="minorBidi"/>
                <w:noProof/>
                <w:sz w:val="24"/>
              </w:rPr>
              <w:tab/>
            </w:r>
            <w:r w:rsidRPr="002C4117">
              <w:rPr>
                <w:rStyle w:val="a9"/>
                <w:rFonts w:ascii="KaiTi" w:eastAsia="KaiTi" w:hAnsi="KaiTi" w:cs="楷体"/>
                <w:b/>
                <w:noProof/>
                <w:sz w:val="24"/>
                <w:bdr w:val="nil"/>
              </w:rPr>
              <w:t>税务</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_Toc228187426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13</w:t>
            </w:r>
            <w:r w:rsidRPr="002C4117">
              <w:rPr>
                <w:rFonts w:ascii="KaiTi" w:eastAsia="KaiTi" w:hAnsi="KaiTi"/>
                <w:noProof/>
                <w:webHidden/>
                <w:sz w:val="24"/>
              </w:rPr>
              <w:fldChar w:fldCharType="end"/>
            </w:r>
          </w:hyperlink>
        </w:p>
        <w:p w:rsidR="002C4117" w:rsidRPr="002C4117" w:rsidRDefault="002C4117" w:rsidP="002C4117">
          <w:pPr>
            <w:pStyle w:val="TOC2"/>
            <w:tabs>
              <w:tab w:val="left" w:pos="1260"/>
              <w:tab w:val="right" w:leader="dot" w:pos="8296"/>
            </w:tabs>
            <w:spacing w:line="360" w:lineRule="auto"/>
            <w:rPr>
              <w:rFonts w:ascii="KaiTi" w:eastAsia="KaiTi" w:hAnsi="KaiTi" w:cstheme="minorBidi"/>
              <w:noProof/>
              <w:sz w:val="24"/>
            </w:rPr>
          </w:pPr>
          <w:hyperlink w:anchor="_Toc228187427" w:history="1">
            <w:r w:rsidRPr="002C4117">
              <w:rPr>
                <w:rStyle w:val="a9"/>
                <w:rFonts w:ascii="KaiTi" w:eastAsia="KaiTi" w:hAnsi="KaiTi"/>
                <w:b/>
                <w:noProof/>
                <w:sz w:val="24"/>
              </w:rPr>
              <w:t>(一)</w:t>
            </w:r>
            <w:r w:rsidRPr="002C4117">
              <w:rPr>
                <w:rFonts w:ascii="KaiTi" w:eastAsia="KaiTi" w:hAnsi="KaiTi" w:cstheme="minorBidi"/>
                <w:noProof/>
                <w:sz w:val="24"/>
              </w:rPr>
              <w:tab/>
            </w:r>
            <w:r w:rsidRPr="002C4117">
              <w:rPr>
                <w:rStyle w:val="a9"/>
                <w:rFonts w:ascii="KaiTi" w:eastAsia="KaiTi" w:hAnsi="KaiTi"/>
                <w:b/>
                <w:noProof/>
                <w:sz w:val="24"/>
              </w:rPr>
              <w:t>税收体系和制度</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_Toc228187427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13</w:t>
            </w:r>
            <w:r w:rsidRPr="002C4117">
              <w:rPr>
                <w:rFonts w:ascii="KaiTi" w:eastAsia="KaiTi" w:hAnsi="KaiTi"/>
                <w:noProof/>
                <w:webHidden/>
                <w:sz w:val="24"/>
              </w:rPr>
              <w:fldChar w:fldCharType="end"/>
            </w:r>
          </w:hyperlink>
        </w:p>
        <w:p w:rsidR="002C4117" w:rsidRPr="002C4117" w:rsidRDefault="002C4117" w:rsidP="002C4117">
          <w:pPr>
            <w:pStyle w:val="TOC2"/>
            <w:tabs>
              <w:tab w:val="left" w:pos="1260"/>
              <w:tab w:val="right" w:leader="dot" w:pos="8296"/>
            </w:tabs>
            <w:spacing w:line="360" w:lineRule="auto"/>
            <w:rPr>
              <w:rFonts w:ascii="KaiTi" w:eastAsia="KaiTi" w:hAnsi="KaiTi" w:cstheme="minorBidi"/>
              <w:noProof/>
              <w:sz w:val="24"/>
            </w:rPr>
          </w:pPr>
          <w:hyperlink w:anchor="_Toc228187428" w:history="1">
            <w:r w:rsidRPr="002C4117">
              <w:rPr>
                <w:rStyle w:val="a9"/>
                <w:rFonts w:ascii="KaiTi" w:eastAsia="KaiTi" w:hAnsi="KaiTi"/>
                <w:b/>
                <w:noProof/>
                <w:sz w:val="24"/>
              </w:rPr>
              <w:t>(二)</w:t>
            </w:r>
            <w:r w:rsidRPr="002C4117">
              <w:rPr>
                <w:rFonts w:ascii="KaiTi" w:eastAsia="KaiTi" w:hAnsi="KaiTi" w:cstheme="minorBidi"/>
                <w:noProof/>
                <w:sz w:val="24"/>
              </w:rPr>
              <w:tab/>
            </w:r>
            <w:r w:rsidRPr="002C4117">
              <w:rPr>
                <w:rStyle w:val="a9"/>
                <w:rFonts w:ascii="KaiTi" w:eastAsia="KaiTi" w:hAnsi="KaiTi"/>
                <w:b/>
                <w:noProof/>
                <w:sz w:val="24"/>
              </w:rPr>
              <w:t>主要税种及税率</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_Toc228187428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14</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29" w:history="1">
            <w:r w:rsidRPr="002C4117">
              <w:rPr>
                <w:rStyle w:val="a9"/>
                <w:rFonts w:ascii="KaiTi" w:eastAsia="KaiTi" w:hAnsi="KaiTi" w:cs="楷体"/>
                <w:b/>
                <w:noProof/>
                <w:sz w:val="24"/>
                <w:bdr w:val="nil"/>
              </w:rPr>
              <w:t>八、</w:t>
            </w:r>
            <w:r w:rsidRPr="002C4117">
              <w:rPr>
                <w:rFonts w:ascii="KaiTi" w:eastAsia="KaiTi" w:hAnsi="KaiTi" w:cstheme="minorBidi"/>
                <w:noProof/>
                <w:sz w:val="24"/>
              </w:rPr>
              <w:tab/>
            </w:r>
            <w:r w:rsidRPr="002C4117">
              <w:rPr>
                <w:rStyle w:val="a9"/>
                <w:rFonts w:ascii="KaiTi" w:eastAsia="KaiTi" w:hAnsi="KaiTi" w:cs="楷体"/>
                <w:b/>
                <w:noProof/>
                <w:sz w:val="24"/>
                <w:bdr w:val="nil"/>
              </w:rPr>
              <w:t>数字经济与数据保护</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_Toc228187429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14</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30" w:history="1">
            <w:r w:rsidRPr="002C4117">
              <w:rPr>
                <w:rStyle w:val="a9"/>
                <w:rFonts w:ascii="KaiTi" w:eastAsia="KaiTi" w:hAnsi="KaiTi" w:cs="楷体"/>
                <w:b/>
                <w:noProof/>
                <w:sz w:val="24"/>
                <w:bdr w:val="nil"/>
              </w:rPr>
              <w:t>九、</w:t>
            </w:r>
            <w:r w:rsidRPr="002C4117">
              <w:rPr>
                <w:rFonts w:ascii="KaiTi" w:eastAsia="KaiTi" w:hAnsi="KaiTi" w:cstheme="minorBidi"/>
                <w:noProof/>
                <w:sz w:val="24"/>
              </w:rPr>
              <w:tab/>
            </w:r>
            <w:r w:rsidRPr="002C4117">
              <w:rPr>
                <w:rStyle w:val="a9"/>
                <w:rFonts w:ascii="KaiTi" w:eastAsia="KaiTi" w:hAnsi="KaiTi" w:cs="楷体"/>
                <w:b/>
                <w:noProof/>
                <w:sz w:val="24"/>
                <w:bdr w:val="nil"/>
              </w:rPr>
              <w:t>供应链和物流（国际贸易）/进出口管制</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_Toc228187430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16</w:t>
            </w:r>
            <w:r w:rsidRPr="002C4117">
              <w:rPr>
                <w:rFonts w:ascii="KaiTi" w:eastAsia="KaiTi" w:hAnsi="KaiTi"/>
                <w:noProof/>
                <w:webHidden/>
                <w:sz w:val="24"/>
              </w:rPr>
              <w:fldChar w:fldCharType="end"/>
            </w:r>
          </w:hyperlink>
        </w:p>
        <w:p w:rsidR="002C4117" w:rsidRPr="002C4117" w:rsidRDefault="002C4117" w:rsidP="002C4117">
          <w:pPr>
            <w:pStyle w:val="TOC1"/>
            <w:tabs>
              <w:tab w:val="left" w:pos="840"/>
              <w:tab w:val="right" w:leader="dot" w:pos="8296"/>
            </w:tabs>
            <w:spacing w:line="360" w:lineRule="auto"/>
            <w:rPr>
              <w:rFonts w:ascii="KaiTi" w:eastAsia="KaiTi" w:hAnsi="KaiTi" w:cstheme="minorBidi"/>
              <w:noProof/>
              <w:sz w:val="24"/>
            </w:rPr>
          </w:pPr>
          <w:hyperlink w:anchor="_Toc228187431" w:history="1">
            <w:r w:rsidRPr="002C4117">
              <w:rPr>
                <w:rStyle w:val="a9"/>
                <w:rFonts w:ascii="KaiTi" w:eastAsia="KaiTi" w:hAnsi="KaiTi" w:cs="楷体"/>
                <w:b/>
                <w:noProof/>
                <w:sz w:val="24"/>
                <w:bdr w:val="nil"/>
              </w:rPr>
              <w:t>十、</w:t>
            </w:r>
            <w:r w:rsidRPr="002C4117">
              <w:rPr>
                <w:rFonts w:ascii="KaiTi" w:eastAsia="KaiTi" w:hAnsi="KaiTi" w:cstheme="minorBidi"/>
                <w:noProof/>
                <w:sz w:val="24"/>
              </w:rPr>
              <w:tab/>
            </w:r>
            <w:r w:rsidRPr="002C4117">
              <w:rPr>
                <w:rStyle w:val="a9"/>
                <w:rFonts w:ascii="KaiTi" w:eastAsia="KaiTi" w:hAnsi="KaiTi" w:cs="楷体"/>
                <w:b/>
                <w:noProof/>
                <w:sz w:val="24"/>
                <w:bdr w:val="nil"/>
              </w:rPr>
              <w:t>环境保护</w:t>
            </w:r>
            <w:r w:rsidRPr="002C4117">
              <w:rPr>
                <w:rFonts w:ascii="KaiTi" w:eastAsia="KaiTi" w:hAnsi="KaiTi"/>
                <w:noProof/>
                <w:webHidden/>
                <w:sz w:val="24"/>
              </w:rPr>
              <w:tab/>
            </w:r>
            <w:r w:rsidRPr="002C4117">
              <w:rPr>
                <w:rFonts w:ascii="KaiTi" w:eastAsia="KaiTi" w:hAnsi="KaiTi"/>
                <w:noProof/>
                <w:webHidden/>
                <w:sz w:val="24"/>
              </w:rPr>
              <w:fldChar w:fldCharType="begin"/>
            </w:r>
            <w:r w:rsidRPr="002C4117">
              <w:rPr>
                <w:rFonts w:ascii="KaiTi" w:eastAsia="KaiTi" w:hAnsi="KaiTi"/>
                <w:noProof/>
                <w:webHidden/>
                <w:sz w:val="24"/>
              </w:rPr>
              <w:instrText xml:space="preserve"> PAGEREF _Toc228187431 \h </w:instrText>
            </w:r>
            <w:r w:rsidRPr="002C4117">
              <w:rPr>
                <w:rFonts w:ascii="KaiTi" w:eastAsia="KaiTi" w:hAnsi="KaiTi"/>
                <w:noProof/>
                <w:webHidden/>
                <w:sz w:val="24"/>
              </w:rPr>
            </w:r>
            <w:r w:rsidRPr="002C4117">
              <w:rPr>
                <w:rFonts w:ascii="KaiTi" w:eastAsia="KaiTi" w:hAnsi="KaiTi"/>
                <w:noProof/>
                <w:webHidden/>
                <w:sz w:val="24"/>
              </w:rPr>
              <w:fldChar w:fldCharType="separate"/>
            </w:r>
            <w:r w:rsidRPr="002C4117">
              <w:rPr>
                <w:rFonts w:ascii="KaiTi" w:eastAsia="KaiTi" w:hAnsi="KaiTi"/>
                <w:noProof/>
                <w:webHidden/>
                <w:sz w:val="24"/>
              </w:rPr>
              <w:t>17</w:t>
            </w:r>
            <w:r w:rsidRPr="002C4117">
              <w:rPr>
                <w:rFonts w:ascii="KaiTi" w:eastAsia="KaiTi" w:hAnsi="KaiTi"/>
                <w:noProof/>
                <w:webHidden/>
                <w:sz w:val="24"/>
              </w:rPr>
              <w:fldChar w:fldCharType="end"/>
            </w:r>
          </w:hyperlink>
        </w:p>
        <w:p w:rsidR="002C4117" w:rsidRDefault="002C4117">
          <w:r w:rsidRPr="002C4117">
            <w:rPr>
              <w:rFonts w:ascii="KaiTi" w:eastAsia="KaiTi" w:hAnsi="KaiTi"/>
              <w:b/>
              <w:bCs/>
              <w:sz w:val="24"/>
              <w:lang w:val="zh-CN"/>
            </w:rPr>
            <w:fldChar w:fldCharType="end"/>
          </w:r>
        </w:p>
      </w:sdtContent>
    </w:sdt>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4C5832" w:rsidRDefault="004C5832"/>
    <w:p w:rsidR="00DA1B8A" w:rsidRDefault="00DA1B8A">
      <w:pPr>
        <w:rPr>
          <w:rFonts w:hint="eastAsia"/>
        </w:rPr>
      </w:pPr>
    </w:p>
    <w:p w:rsidR="004C5832" w:rsidRDefault="004C5832"/>
    <w:p w:rsidR="004C5832" w:rsidRDefault="004C5832"/>
    <w:p w:rsidR="00F01A30" w:rsidRPr="004853F4" w:rsidRDefault="004853F4" w:rsidP="004853F4">
      <w:pPr>
        <w:spacing w:beforeLines="50" w:before="156" w:afterLines="50" w:after="156" w:line="360" w:lineRule="auto"/>
        <w:ind w:firstLineChars="200" w:firstLine="562"/>
        <w:outlineLvl w:val="0"/>
        <w:rPr>
          <w:rFonts w:ascii="楷体" w:eastAsia="楷体" w:hAnsi="楷体" w:cs="楷体" w:hint="eastAsia"/>
          <w:b/>
          <w:bCs/>
          <w:kern w:val="0"/>
          <w:sz w:val="28"/>
          <w:szCs w:val="28"/>
          <w:u w:color="000000"/>
          <w:bdr w:val="nil"/>
        </w:rPr>
      </w:pPr>
      <w:bookmarkStart w:id="0" w:name="_Toc228187420"/>
      <w:r w:rsidRPr="004853F4">
        <w:rPr>
          <w:rFonts w:ascii="楷体" w:eastAsia="楷体" w:hAnsi="楷体" w:cs="楷体" w:hint="eastAsia"/>
          <w:b/>
          <w:bCs/>
          <w:kern w:val="0"/>
          <w:sz w:val="28"/>
          <w:szCs w:val="28"/>
          <w:u w:color="000000"/>
          <w:bdr w:val="nil"/>
        </w:rPr>
        <w:lastRenderedPageBreak/>
        <w:t>一、国家概述</w:t>
      </w:r>
      <w:bookmarkEnd w:id="0"/>
    </w:p>
    <w:p w:rsidR="0036365A" w:rsidRPr="004853F4" w:rsidRDefault="0036365A" w:rsidP="0036365A">
      <w:pPr>
        <w:ind w:firstLineChars="200" w:firstLine="480"/>
        <w:jc w:val="center"/>
        <w:rPr>
          <w:rFonts w:ascii="KaiTi" w:eastAsia="KaiTi" w:hAnsi="KaiTi"/>
          <w:sz w:val="24"/>
        </w:rPr>
      </w:pPr>
      <w:r w:rsidRPr="004853F4">
        <w:rPr>
          <w:rFonts w:ascii="KaiTi" w:eastAsia="KaiTi" w:hAnsi="KaiTi"/>
          <w:noProof/>
          <w:sz w:val="24"/>
        </w:rPr>
        <mc:AlternateContent>
          <mc:Choice Requires="wps">
            <w:drawing>
              <wp:anchor distT="0" distB="0" distL="114300" distR="114300" simplePos="0" relativeHeight="251662336" behindDoc="0" locked="0" layoutInCell="1" allowOverlap="1" wp14:anchorId="620E1A0A" wp14:editId="5209CDCB">
                <wp:simplePos x="0" y="0"/>
                <wp:positionH relativeFrom="column">
                  <wp:posOffset>2423795</wp:posOffset>
                </wp:positionH>
                <wp:positionV relativeFrom="paragraph">
                  <wp:posOffset>1702435</wp:posOffset>
                </wp:positionV>
                <wp:extent cx="497840" cy="181610"/>
                <wp:effectExtent l="10795" t="10795" r="24765" b="36195"/>
                <wp:wrapNone/>
                <wp:docPr id="9" name="矩形 9"/>
                <wp:cNvGraphicFramePr/>
                <a:graphic xmlns:a="http://schemas.openxmlformats.org/drawingml/2006/main">
                  <a:graphicData uri="http://schemas.microsoft.com/office/word/2010/wordprocessingShape">
                    <wps:wsp>
                      <wps:cNvSpPr/>
                      <wps:spPr>
                        <a:xfrm>
                          <a:off x="3449955" y="4222750"/>
                          <a:ext cx="497840" cy="181610"/>
                        </a:xfrm>
                        <a:prstGeom prst="rect">
                          <a:avLst/>
                        </a:prstGeom>
                        <a:ln w="22225" cap="flat" cmpd="sng">
                          <a:solidFill>
                            <a:srgbClr val="FF0000"/>
                          </a:solidFill>
                          <a:prstDash val="dash"/>
                          <a:miter lim="800000"/>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DA7773" id="矩形 9" o:spid="_x0000_s1026" style="position:absolute;left:0;text-align:left;margin-left:190.85pt;margin-top:134.05pt;width:39.2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" filled="f" strokecolor="red" strokeweight="1.75pt">
                <v:stroke dashstyle="dash"/>
              </v:rect>
            </w:pict>
          </mc:Fallback>
        </mc:AlternateContent>
      </w:r>
      <w:r w:rsidRPr="004853F4">
        <w:rPr>
          <w:rFonts w:ascii="KaiTi" w:eastAsia="KaiTi" w:hAnsi="KaiTi"/>
          <w:noProof/>
          <w:sz w:val="24"/>
        </w:rPr>
        <w:drawing>
          <wp:inline distT="0" distB="0" distL="0" distR="0" wp14:anchorId="5D28CE9E" wp14:editId="018B767E">
            <wp:extent cx="4986193" cy="248475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60649" cy="2521858"/>
                    </a:xfrm>
                    <a:prstGeom prst="rect">
                      <a:avLst/>
                    </a:prstGeom>
                  </pic:spPr>
                </pic:pic>
              </a:graphicData>
            </a:graphic>
          </wp:inline>
        </w:drawing>
      </w:r>
    </w:p>
    <w:p w:rsidR="0036365A" w:rsidRPr="004853F4" w:rsidRDefault="0036365A" w:rsidP="0036365A">
      <w:pPr>
        <w:ind w:firstLineChars="200" w:firstLine="480"/>
        <w:jc w:val="center"/>
        <w:rPr>
          <w:rFonts w:ascii="KaiTi" w:eastAsia="KaiTi" w:hAnsi="KaiTi"/>
          <w:sz w:val="24"/>
        </w:rPr>
      </w:pPr>
      <w:r w:rsidRPr="004853F4">
        <w:rPr>
          <w:rFonts w:ascii="KaiTi" w:eastAsia="KaiTi" w:hAnsi="KaiTi" w:hint="eastAsia"/>
          <w:noProof/>
          <w:sz w:val="24"/>
        </w:rPr>
        <mc:AlternateContent>
          <mc:Choice Requires="wps">
            <w:drawing>
              <wp:anchor distT="0" distB="0" distL="114300" distR="114300" simplePos="0" relativeHeight="251665408" behindDoc="0" locked="0" layoutInCell="1" allowOverlap="1" wp14:anchorId="5E4D733F" wp14:editId="5C4B2FEC">
                <wp:simplePos x="0" y="0"/>
                <wp:positionH relativeFrom="column">
                  <wp:posOffset>1767177</wp:posOffset>
                </wp:positionH>
                <wp:positionV relativeFrom="paragraph">
                  <wp:posOffset>1417320</wp:posOffset>
                </wp:positionV>
                <wp:extent cx="652007" cy="261620"/>
                <wp:effectExtent l="19050" t="19050" r="15240" b="24130"/>
                <wp:wrapNone/>
                <wp:docPr id="25" name="矩形 25"/>
                <wp:cNvGraphicFramePr/>
                <a:graphic xmlns:a="http://schemas.openxmlformats.org/drawingml/2006/main">
                  <a:graphicData uri="http://schemas.microsoft.com/office/word/2010/wordprocessingShape">
                    <wps:wsp>
                      <wps:cNvSpPr/>
                      <wps:spPr>
                        <a:xfrm>
                          <a:off x="0" y="0"/>
                          <a:ext cx="652007" cy="261620"/>
                        </a:xfrm>
                        <a:prstGeom prst="rect">
                          <a:avLst/>
                        </a:prstGeom>
                        <a:noFill/>
                        <a:ln w="28575">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3F3F4" id="矩形 25" o:spid="_x0000_s1026" style="position:absolute;left:0;text-align:left;margin-left:139.15pt;margin-top:111.6pt;width:51.35pt;height:2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" filled="f" strokecolor="red" strokeweight="2.25pt">
                <v:stroke dashstyle="longDash"/>
              </v:rect>
            </w:pict>
          </mc:Fallback>
        </mc:AlternateContent>
      </w:r>
      <w:r w:rsidRPr="004853F4">
        <w:rPr>
          <w:rFonts w:ascii="KaiTi" w:eastAsia="KaiTi" w:hAnsi="KaiTi" w:hint="eastAsia"/>
          <w:noProof/>
          <w:sz w:val="24"/>
        </w:rPr>
        <mc:AlternateContent>
          <mc:Choice Requires="wps">
            <w:drawing>
              <wp:anchor distT="0" distB="0" distL="114300" distR="114300" simplePos="0" relativeHeight="251664384" behindDoc="0" locked="0" layoutInCell="1" allowOverlap="1" wp14:anchorId="4B7A5596" wp14:editId="2F324811">
                <wp:simplePos x="0" y="0"/>
                <wp:positionH relativeFrom="column">
                  <wp:posOffset>1767177</wp:posOffset>
                </wp:positionH>
                <wp:positionV relativeFrom="paragraph">
                  <wp:posOffset>1321904</wp:posOffset>
                </wp:positionV>
                <wp:extent cx="652007" cy="548640"/>
                <wp:effectExtent l="0" t="0" r="0" b="3810"/>
                <wp:wrapNone/>
                <wp:docPr id="23" name="文本框 23"/>
                <wp:cNvGraphicFramePr/>
                <a:graphic xmlns:a="http://schemas.openxmlformats.org/drawingml/2006/main">
                  <a:graphicData uri="http://schemas.microsoft.com/office/word/2010/wordprocessingShape">
                    <wps:wsp>
                      <wps:cNvSpPr txBox="1"/>
                      <wps:spPr>
                        <a:xfrm>
                          <a:off x="0" y="0"/>
                          <a:ext cx="652007" cy="548640"/>
                        </a:xfrm>
                        <a:prstGeom prst="rect">
                          <a:avLst/>
                        </a:prstGeom>
                        <a:noFill/>
                        <a:ln w="6350">
                          <a:noFill/>
                        </a:ln>
                      </wps:spPr>
                      <wps:txbx>
                        <w:txbxContent>
                          <w:p w:rsidR="004C5832" w:rsidRPr="00082622" w:rsidRDefault="004C5832" w:rsidP="0036365A">
                            <w:pPr>
                              <w:rPr>
                                <w:rFonts w:ascii="微软雅黑" w:eastAsia="微软雅黑" w:hAnsi="微软雅黑"/>
                                <w:b/>
                                <w:color w:val="000000" w:themeColor="text1"/>
                              </w:rPr>
                            </w:pPr>
                            <w:r w:rsidRPr="00082622">
                              <w:rPr>
                                <w:rFonts w:ascii="微软雅黑" w:eastAsia="微软雅黑" w:hAnsi="微软雅黑" w:hint="eastAsia"/>
                                <w:b/>
                                <w:color w:val="000000" w:themeColor="text1"/>
                                <w:fitText w:val="720" w:id="-896766208"/>
                              </w:rPr>
                              <w:t>新加坡</w:t>
                            </w:r>
                          </w:p>
                          <w:p w:rsidR="004C5832" w:rsidRPr="00082622" w:rsidRDefault="004C5832" w:rsidP="0036365A">
                            <w:pPr>
                              <w:rPr>
                                <w:rFonts w:ascii="微软雅黑" w:eastAsia="微软雅黑" w:hAnsi="微软雅黑"/>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A5596" id="_x0000_t202" coordsize="21600,21600" o:spt="202" path="m,l,21600r21600,l21600,xe">
                <v:stroke joinstyle="miter"/>
                <v:path gradientshapeok="t" o:connecttype="rect"/>
              </v:shapetype>
              <v:shape id="文本框 23" o:spid="_x0000_s1026" type="#_x0000_t202" style="position:absolute;left:0;text-align:left;margin-left:139.15pt;margin-top:104.1pt;width:51.3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" filled="f" stroked="f" strokeweight=".5pt">
                <v:textbox>
                  <w:txbxContent>
                    <w:p w:rsidR="004C5832" w:rsidRPr="00082622" w:rsidRDefault="004C5832" w:rsidP="0036365A">
                      <w:pPr>
                        <w:rPr>
                          <w:rFonts w:ascii="微软雅黑" w:eastAsia="微软雅黑" w:hAnsi="微软雅黑"/>
                          <w:b/>
                          <w:color w:val="000000" w:themeColor="text1"/>
                        </w:rPr>
                      </w:pPr>
                      <w:r w:rsidRPr="00082622">
                        <w:rPr>
                          <w:rFonts w:ascii="微软雅黑" w:eastAsia="微软雅黑" w:hAnsi="微软雅黑" w:hint="eastAsia"/>
                          <w:b/>
                          <w:color w:val="000000" w:themeColor="text1"/>
                          <w:fitText w:val="720" w:id="-896766208"/>
                        </w:rPr>
                        <w:t>新加坡</w:t>
                      </w:r>
                    </w:p>
                    <w:p w:rsidR="004C5832" w:rsidRPr="00082622" w:rsidRDefault="004C5832" w:rsidP="0036365A">
                      <w:pPr>
                        <w:rPr>
                          <w:rFonts w:ascii="微软雅黑" w:eastAsia="微软雅黑" w:hAnsi="微软雅黑"/>
                          <w:b/>
                          <w:sz w:val="32"/>
                        </w:rPr>
                      </w:pPr>
                    </w:p>
                  </w:txbxContent>
                </v:textbox>
              </v:shape>
            </w:pict>
          </mc:Fallback>
        </mc:AlternateContent>
      </w:r>
      <w:r w:rsidRPr="004853F4">
        <w:rPr>
          <w:rFonts w:ascii="KaiTi" w:eastAsia="KaiTi" w:hAnsi="KaiTi" w:hint="eastAsia"/>
          <w:noProof/>
          <w:sz w:val="24"/>
        </w:rPr>
        <w:drawing>
          <wp:inline distT="0" distB="0" distL="0" distR="0" wp14:anchorId="37036F38" wp14:editId="19CE9648">
            <wp:extent cx="5032375" cy="337645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屏幕截图 2024-10-17 171750.png"/>
                    <pic:cNvPicPr/>
                  </pic:nvPicPr>
                  <pic:blipFill>
                    <a:blip r:embed="rId9">
                      <a:extLst>
                        <a:ext uri="{28A0092B-C50C-407E-A947-70E740481C1C}">
                          <a14:useLocalDpi xmlns:a14="http://schemas.microsoft.com/office/drawing/2010/main" val="0"/>
                        </a:ext>
                      </a:extLst>
                    </a:blip>
                    <a:stretch>
                      <a:fillRect/>
                    </a:stretch>
                  </pic:blipFill>
                  <pic:spPr>
                    <a:xfrm>
                      <a:off x="0" y="0"/>
                      <a:ext cx="5065822" cy="3398897"/>
                    </a:xfrm>
                    <a:prstGeom prst="rect">
                      <a:avLst/>
                    </a:prstGeom>
                  </pic:spPr>
                </pic:pic>
              </a:graphicData>
            </a:graphic>
          </wp:inline>
        </w:drawing>
      </w:r>
    </w:p>
    <w:p w:rsidR="0036365A" w:rsidRPr="004853F4" w:rsidRDefault="0036365A" w:rsidP="0036365A">
      <w:pPr>
        <w:spacing w:line="0" w:lineRule="atLeast"/>
        <w:ind w:firstLineChars="200" w:firstLine="480"/>
        <w:rPr>
          <w:rFonts w:ascii="KaiTi" w:eastAsia="KaiTi" w:hAnsi="KaiTi"/>
          <w:sz w:val="24"/>
        </w:rPr>
      </w:pPr>
      <w:r w:rsidRPr="004853F4">
        <w:rPr>
          <w:rFonts w:ascii="KaiTi" w:eastAsia="KaiTi" w:hAnsi="KaiTi" w:hint="eastAsia"/>
          <w:sz w:val="24"/>
        </w:rPr>
        <w:t>新加坡（Singapore）位于马来半岛南端、马六甲海峡出入口。新加坡实行议会共和制，设置国会和内阁，国会实行一院制，任期5年；内阁对国会负责，成员包括总理、副总理及各部部长。</w:t>
      </w:r>
    </w:p>
    <w:p w:rsidR="0036365A" w:rsidRPr="004853F4" w:rsidRDefault="0036365A" w:rsidP="0036365A">
      <w:pPr>
        <w:spacing w:line="0" w:lineRule="atLeast"/>
        <w:ind w:firstLineChars="200" w:firstLine="480"/>
        <w:rPr>
          <w:rFonts w:ascii="KaiTi" w:eastAsia="KaiTi" w:hAnsi="KaiTi"/>
          <w:sz w:val="24"/>
        </w:rPr>
      </w:pPr>
      <w:r w:rsidRPr="004853F4">
        <w:rPr>
          <w:rFonts w:ascii="KaiTi" w:eastAsia="KaiTi" w:hAnsi="KaiTi" w:hint="eastAsia"/>
          <w:sz w:val="24"/>
        </w:rPr>
        <w:t>新加坡是城邦国家，无省市之分，是以符合都市规划的方式将全国划分为五个社区（行政区），由相应的社区发展理事会（简称社理会）管理。5个社理会是按照地区划分，定名为东北、东南、西北、西南和中区社理会，五个社区进一步分为31个选区，包括14个单选区和17个集选区。新加坡也是联合国（</w:t>
      </w:r>
      <w:r w:rsidRPr="004853F4">
        <w:rPr>
          <w:rFonts w:ascii="KaiTi" w:eastAsia="KaiTi" w:hAnsi="KaiTi"/>
          <w:sz w:val="24"/>
        </w:rPr>
        <w:t>UN</w:t>
      </w:r>
      <w:r w:rsidRPr="004853F4">
        <w:rPr>
          <w:rFonts w:ascii="KaiTi" w:eastAsia="KaiTi" w:hAnsi="KaiTi" w:hint="eastAsia"/>
          <w:sz w:val="24"/>
        </w:rPr>
        <w:t>）、世界贸易组织（</w:t>
      </w:r>
      <w:r w:rsidRPr="004853F4">
        <w:rPr>
          <w:rFonts w:ascii="KaiTi" w:eastAsia="KaiTi" w:hAnsi="KaiTi"/>
          <w:sz w:val="24"/>
        </w:rPr>
        <w:t>WTO</w:t>
      </w:r>
      <w:r w:rsidRPr="004853F4">
        <w:rPr>
          <w:rFonts w:ascii="KaiTi" w:eastAsia="KaiTi" w:hAnsi="KaiTi" w:hint="eastAsia"/>
          <w:sz w:val="24"/>
        </w:rPr>
        <w:t>）、世界卫生组织（WHO）、世界气象组织（WMO）、世界知识产权组织（WIPO）、国际海事组织（IMO）、亚太经济合作组织（APEC）、亚欧会议、东</w:t>
      </w:r>
      <w:r w:rsidRPr="004853F4">
        <w:rPr>
          <w:rFonts w:ascii="KaiTi" w:eastAsia="KaiTi" w:hAnsi="KaiTi" w:hint="eastAsia"/>
          <w:sz w:val="24"/>
        </w:rPr>
        <w:lastRenderedPageBreak/>
        <w:t>盟（ASEAN）以及东亚—拉美论坛成员国。</w:t>
      </w:r>
    </w:p>
    <w:p w:rsidR="0036365A" w:rsidRPr="004853F4" w:rsidRDefault="0036365A" w:rsidP="0036365A">
      <w:pPr>
        <w:spacing w:line="0" w:lineRule="atLeast"/>
        <w:ind w:firstLineChars="200" w:firstLine="480"/>
        <w:rPr>
          <w:rFonts w:ascii="KaiTi" w:eastAsia="KaiTi" w:hAnsi="KaiTi"/>
          <w:sz w:val="24"/>
        </w:rPr>
      </w:pPr>
    </w:p>
    <w:p w:rsidR="0036365A" w:rsidRPr="004853F4" w:rsidRDefault="0036365A" w:rsidP="0036365A">
      <w:pPr>
        <w:tabs>
          <w:tab w:val="left" w:pos="993"/>
        </w:tabs>
        <w:spacing w:line="400" w:lineRule="exact"/>
        <w:ind w:left="1879" w:hangingChars="780" w:hanging="1879"/>
        <w:rPr>
          <w:rFonts w:ascii="KaiTi" w:eastAsia="KaiTi" w:hAnsi="KaiTi"/>
          <w:b/>
          <w:sz w:val="24"/>
        </w:rPr>
      </w:pPr>
      <w:r w:rsidRPr="004853F4">
        <w:rPr>
          <w:rFonts w:ascii="KaiTi" w:eastAsia="KaiTi" w:hAnsi="KaiTi" w:hint="eastAsia"/>
          <w:b/>
          <w:sz w:val="24"/>
        </w:rPr>
        <w:t>行政区划：</w:t>
      </w:r>
      <w:r w:rsidRPr="004853F4">
        <w:rPr>
          <w:rFonts w:ascii="KaiTi" w:eastAsia="KaiTi" w:hAnsi="KaiTi" w:hint="eastAsia"/>
          <w:b/>
          <w:spacing w:val="9"/>
          <w:sz w:val="24"/>
        </w:rPr>
        <w:t>城邦国家，全国共划分为五个社区，由相应社理会管理</w:t>
      </w:r>
    </w:p>
    <w:p w:rsidR="0036365A" w:rsidRPr="004853F4" w:rsidRDefault="0036365A" w:rsidP="0036365A">
      <w:pPr>
        <w:spacing w:line="400" w:lineRule="exact"/>
        <w:ind w:left="1679" w:hangingChars="697" w:hanging="1679"/>
        <w:rPr>
          <w:rFonts w:ascii="KaiTi" w:eastAsia="KaiTi" w:hAnsi="KaiTi"/>
          <w:b/>
          <w:sz w:val="24"/>
        </w:rPr>
      </w:pPr>
      <w:r w:rsidRPr="004853F4">
        <w:rPr>
          <w:rFonts w:ascii="KaiTi" w:eastAsia="KaiTi" w:hAnsi="KaiTi" w:hint="eastAsia"/>
          <w:b/>
          <w:sz w:val="24"/>
        </w:rPr>
        <w:t>官方语言：</w:t>
      </w:r>
      <w:r w:rsidRPr="004853F4">
        <w:rPr>
          <w:rFonts w:ascii="KaiTi" w:eastAsia="KaiTi" w:hAnsi="KaiTi" w:hint="eastAsia"/>
          <w:b/>
          <w:bCs/>
          <w:spacing w:val="9"/>
          <w:sz w:val="24"/>
        </w:rPr>
        <w:t>马来语、华语、泰米尔语和英语；马来语为国语，英语为行政用语</w:t>
      </w:r>
    </w:p>
    <w:p w:rsidR="0036365A" w:rsidRPr="004853F4" w:rsidRDefault="0036365A" w:rsidP="0036365A">
      <w:pPr>
        <w:spacing w:line="400" w:lineRule="exact"/>
        <w:ind w:left="2561" w:hangingChars="1063" w:hanging="2561"/>
        <w:rPr>
          <w:rFonts w:ascii="KaiTi" w:eastAsia="KaiTi" w:hAnsi="KaiTi"/>
          <w:b/>
          <w:sz w:val="24"/>
        </w:rPr>
      </w:pPr>
      <w:r w:rsidRPr="004853F4">
        <w:rPr>
          <w:rFonts w:ascii="KaiTi" w:eastAsia="KaiTi" w:hAnsi="KaiTi" w:hint="eastAsia"/>
          <w:b/>
          <w:sz w:val="24"/>
        </w:rPr>
        <w:t>货</w:t>
      </w:r>
      <w:r w:rsidRPr="004853F4">
        <w:rPr>
          <w:rFonts w:ascii="KaiTi" w:eastAsia="KaiTi" w:hAnsi="KaiTi"/>
          <w:b/>
          <w:sz w:val="24"/>
        </w:rPr>
        <w:t xml:space="preserve">    </w:t>
      </w:r>
      <w:r w:rsidRPr="004853F4">
        <w:rPr>
          <w:rFonts w:ascii="KaiTi" w:eastAsia="KaiTi" w:hAnsi="KaiTi" w:hint="eastAsia"/>
          <w:b/>
          <w:sz w:val="24"/>
        </w:rPr>
        <w:t>币：</w:t>
      </w:r>
      <w:r w:rsidRPr="004853F4">
        <w:rPr>
          <w:rFonts w:ascii="KaiTi" w:eastAsia="KaiTi" w:hAnsi="KaiTi" w:hint="eastAsia"/>
          <w:b/>
          <w:spacing w:val="9"/>
          <w:sz w:val="24"/>
        </w:rPr>
        <w:t>新加坡元（</w:t>
      </w:r>
      <w:r w:rsidRPr="004853F4">
        <w:rPr>
          <w:rFonts w:ascii="KaiTi" w:eastAsia="KaiTi" w:hAnsi="KaiTi"/>
          <w:b/>
          <w:spacing w:val="9"/>
          <w:sz w:val="24"/>
        </w:rPr>
        <w:t>Singapore Dollar）</w:t>
      </w:r>
    </w:p>
    <w:p w:rsidR="0036365A" w:rsidRPr="004853F4" w:rsidRDefault="0036365A" w:rsidP="0036365A">
      <w:pPr>
        <w:tabs>
          <w:tab w:val="left" w:pos="993"/>
        </w:tabs>
        <w:spacing w:line="400" w:lineRule="exact"/>
        <w:ind w:left="1195" w:hangingChars="496" w:hanging="1195"/>
        <w:rPr>
          <w:rFonts w:ascii="KaiTi" w:eastAsia="KaiTi" w:hAnsi="KaiTi"/>
          <w:b/>
          <w:sz w:val="24"/>
        </w:rPr>
      </w:pPr>
      <w:r w:rsidRPr="004853F4">
        <w:rPr>
          <w:rFonts w:ascii="KaiTi" w:eastAsia="KaiTi" w:hAnsi="KaiTi" w:hint="eastAsia"/>
          <w:b/>
          <w:sz w:val="24"/>
        </w:rPr>
        <w:t>人</w:t>
      </w:r>
      <w:r w:rsidRPr="004853F4">
        <w:rPr>
          <w:rFonts w:ascii="KaiTi" w:eastAsia="KaiTi" w:hAnsi="KaiTi"/>
          <w:b/>
          <w:sz w:val="24"/>
        </w:rPr>
        <w:t xml:space="preserve">    </w:t>
      </w:r>
      <w:r w:rsidRPr="004853F4">
        <w:rPr>
          <w:rFonts w:ascii="KaiTi" w:eastAsia="KaiTi" w:hAnsi="KaiTi" w:hint="eastAsia"/>
          <w:b/>
          <w:sz w:val="24"/>
        </w:rPr>
        <w:t>口：主要是近一百多年来从欧亚地区迁移而来的移民及其后裔，其中华人约占总</w:t>
      </w:r>
    </w:p>
    <w:p w:rsidR="0036365A" w:rsidRPr="004853F4" w:rsidRDefault="0036365A" w:rsidP="0036365A">
      <w:pPr>
        <w:tabs>
          <w:tab w:val="left" w:pos="993"/>
        </w:tabs>
        <w:spacing w:line="400" w:lineRule="exact"/>
        <w:ind w:leftChars="400" w:left="840"/>
        <w:rPr>
          <w:rFonts w:ascii="KaiTi" w:eastAsia="KaiTi" w:hAnsi="KaiTi"/>
          <w:b/>
          <w:spacing w:val="9"/>
          <w:sz w:val="24"/>
        </w:rPr>
      </w:pPr>
      <w:r w:rsidRPr="004853F4">
        <w:rPr>
          <w:rFonts w:ascii="KaiTi" w:eastAsia="KaiTi" w:hAnsi="KaiTi" w:hint="eastAsia"/>
          <w:b/>
          <w:sz w:val="24"/>
        </w:rPr>
        <w:t>人口的</w:t>
      </w:r>
      <w:r w:rsidRPr="004853F4">
        <w:rPr>
          <w:rFonts w:ascii="KaiTi" w:eastAsia="KaiTi" w:hAnsi="KaiTi"/>
          <w:b/>
          <w:sz w:val="24"/>
        </w:rPr>
        <w:t>74%</w:t>
      </w:r>
    </w:p>
    <w:p w:rsidR="0036365A" w:rsidRPr="004853F4" w:rsidRDefault="0036365A" w:rsidP="0036365A">
      <w:pPr>
        <w:spacing w:line="400" w:lineRule="exact"/>
        <w:ind w:left="1679" w:hangingChars="697" w:hanging="1679"/>
        <w:rPr>
          <w:rFonts w:ascii="KaiTi" w:eastAsia="KaiTi" w:hAnsi="KaiTi"/>
          <w:b/>
          <w:sz w:val="24"/>
        </w:rPr>
      </w:pPr>
      <w:r w:rsidRPr="004853F4">
        <w:rPr>
          <w:rFonts w:ascii="KaiTi" w:eastAsia="KaiTi" w:hAnsi="KaiTi" w:hint="eastAsia"/>
          <w:b/>
          <w:sz w:val="24"/>
        </w:rPr>
        <w:t>地理位置：新加坡位于马来半岛南端、马六甲海峡出入口，与马来西亚、印度尼西亚相邻</w:t>
      </w:r>
    </w:p>
    <w:p w:rsidR="0036365A" w:rsidRPr="004853F4" w:rsidRDefault="004853F4" w:rsidP="0036365A">
      <w:pPr>
        <w:spacing w:line="0" w:lineRule="atLeast"/>
        <w:ind w:left="1673" w:hangingChars="697" w:hanging="1673"/>
        <w:rPr>
          <w:rFonts w:ascii="KaiTi" w:eastAsia="KaiTi" w:hAnsi="KaiTi"/>
          <w:sz w:val="24"/>
        </w:rPr>
      </w:pPr>
      <w:r w:rsidRPr="004853F4">
        <w:rPr>
          <w:rFonts w:ascii="KaiTi" w:eastAsia="KaiTi" w:hAnsi="KaiTi"/>
          <w:noProof/>
          <w:sz w:val="24"/>
        </w:rPr>
        <mc:AlternateContent>
          <mc:Choice Requires="wps">
            <w:drawing>
              <wp:anchor distT="0" distB="0" distL="114300" distR="114300" simplePos="0" relativeHeight="251663360" behindDoc="0" locked="0" layoutInCell="1" allowOverlap="1" wp14:anchorId="256800F4" wp14:editId="21F95E58">
                <wp:simplePos x="0" y="0"/>
                <wp:positionH relativeFrom="margin">
                  <wp:posOffset>65528</wp:posOffset>
                </wp:positionH>
                <wp:positionV relativeFrom="paragraph">
                  <wp:posOffset>84250</wp:posOffset>
                </wp:positionV>
                <wp:extent cx="5287617" cy="2321781"/>
                <wp:effectExtent l="19050" t="19050" r="27940" b="21590"/>
                <wp:wrapNone/>
                <wp:docPr id="14" name="矩形: 圆角 3"/>
                <wp:cNvGraphicFramePr/>
                <a:graphic xmlns:a="http://schemas.openxmlformats.org/drawingml/2006/main">
                  <a:graphicData uri="http://schemas.microsoft.com/office/word/2010/wordprocessingShape">
                    <wps:wsp>
                      <wps:cNvSpPr/>
                      <wps:spPr>
                        <a:xfrm>
                          <a:off x="0" y="0"/>
                          <a:ext cx="5287617" cy="2321781"/>
                        </a:xfrm>
                        <a:prstGeom prst="roundRect">
                          <a:avLst/>
                        </a:prstGeom>
                        <a:solidFill>
                          <a:sysClr val="window" lastClr="FFFFFF"/>
                        </a:solidFill>
                        <a:ln w="28575" cap="flat" cmpd="sng" algn="ctr">
                          <a:solidFill>
                            <a:srgbClr val="E4CA9C"/>
                          </a:solidFill>
                          <a:prstDash val="solid"/>
                          <a:miter lim="800000"/>
                        </a:ln>
                        <a:effectLst/>
                      </wps:spPr>
                      <wps:txbx>
                        <w:txbxContent>
                          <w:p w:rsidR="004C5832" w:rsidRDefault="004C5832" w:rsidP="0036365A">
                            <w:pPr>
                              <w:spacing w:line="0" w:lineRule="atLeast"/>
                              <w:jc w:val="center"/>
                              <w:rPr>
                                <w:rFonts w:ascii="Times New Roman" w:eastAsia="Microsoft YaHei UI" w:hAnsi="Times New Roman"/>
                                <w:b/>
                                <w:color w:val="7C6755"/>
                                <w:spacing w:val="9"/>
                                <w:sz w:val="20"/>
                                <w:szCs w:val="20"/>
                              </w:rPr>
                            </w:pPr>
                            <w:r>
                              <w:rPr>
                                <w:rFonts w:ascii="Times New Roman" w:eastAsia="Microsoft YaHei UI" w:hAnsi="Times New Roman"/>
                                <w:b/>
                                <w:color w:val="7C6755"/>
                                <w:spacing w:val="9"/>
                                <w:sz w:val="20"/>
                                <w:szCs w:val="20"/>
                              </w:rPr>
                              <w:t>基本信息</w:t>
                            </w:r>
                          </w:p>
                          <w:p w:rsidR="004C5832" w:rsidRPr="00CB4F79" w:rsidRDefault="004C5832" w:rsidP="0036365A">
                            <w:pPr>
                              <w:tabs>
                                <w:tab w:val="left" w:pos="993"/>
                              </w:tabs>
                              <w:spacing w:line="400" w:lineRule="exact"/>
                              <w:ind w:left="1560" w:hangingChars="780" w:hanging="1560"/>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行政区划</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pacing w:val="9"/>
                                <w:sz w:val="20"/>
                                <w:szCs w:val="20"/>
                              </w:rPr>
                              <w:t>城邦国家，全国共划分为五个社区，由相应社理会管理</w:t>
                            </w:r>
                          </w:p>
                          <w:p w:rsidR="004C5832" w:rsidRPr="00CB4F79" w:rsidRDefault="004C5832" w:rsidP="0036365A">
                            <w:pPr>
                              <w:spacing w:line="400" w:lineRule="exact"/>
                              <w:ind w:left="1394" w:hangingChars="697" w:hanging="1394"/>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官方语言：</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bCs/>
                                <w:color w:val="7C6755"/>
                                <w:spacing w:val="9"/>
                                <w:sz w:val="20"/>
                                <w:szCs w:val="20"/>
                              </w:rPr>
                              <w:t>马来语、华语、泰米尔语和英语；马来语为国语，英语为行政用语</w:t>
                            </w:r>
                          </w:p>
                          <w:p w:rsidR="004C5832" w:rsidRPr="00CB4F79" w:rsidRDefault="004C5832" w:rsidP="0036365A">
                            <w:pPr>
                              <w:spacing w:line="400" w:lineRule="exact"/>
                              <w:ind w:left="2126" w:hangingChars="1063" w:hanging="2126"/>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 xml:space="preserve">货 </w:t>
                            </w:r>
                            <w:r w:rsidRPr="00CB4F79">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z w:val="20"/>
                                <w:szCs w:val="20"/>
                              </w:rPr>
                              <w:t>币：</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pacing w:val="9"/>
                                <w:sz w:val="20"/>
                                <w:szCs w:val="20"/>
                              </w:rPr>
                              <w:t>新加坡元（Singapore Dollar）</w:t>
                            </w:r>
                          </w:p>
                          <w:p w:rsidR="004C5832" w:rsidRPr="00082622" w:rsidRDefault="004C5832" w:rsidP="0036365A">
                            <w:pPr>
                              <w:tabs>
                                <w:tab w:val="left" w:pos="993"/>
                              </w:tabs>
                              <w:spacing w:line="400" w:lineRule="exact"/>
                              <w:ind w:left="1192" w:hangingChars="596" w:hanging="1192"/>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 xml:space="preserve">人 </w:t>
                            </w:r>
                            <w:r w:rsidRPr="00CB4F79">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z w:val="20"/>
                                <w:szCs w:val="20"/>
                              </w:rPr>
                              <w:t>口：</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801DDF">
                              <w:rPr>
                                <w:rFonts w:ascii="Microsoft YaHei UI" w:eastAsia="Microsoft YaHei UI" w:hAnsi="Microsoft YaHei UI" w:hint="eastAsia"/>
                                <w:b/>
                                <w:color w:val="7C6755"/>
                                <w:sz w:val="20"/>
                                <w:szCs w:val="20"/>
                              </w:rPr>
                              <w:t>主要是近一百多年来从欧亚地区迁移而来的移民及其后裔，其中华人约占总人口的</w:t>
                            </w:r>
                            <w:r w:rsidRPr="00801DDF">
                              <w:rPr>
                                <w:rFonts w:ascii="Microsoft YaHei UI" w:eastAsia="Microsoft YaHei UI" w:hAnsi="Microsoft YaHei UI"/>
                                <w:b/>
                                <w:color w:val="7C6755"/>
                                <w:sz w:val="20"/>
                                <w:szCs w:val="20"/>
                              </w:rPr>
                              <w:t>74%</w:t>
                            </w:r>
                          </w:p>
                          <w:p w:rsidR="004C5832" w:rsidRDefault="004C5832" w:rsidP="0036365A">
                            <w:pPr>
                              <w:spacing w:line="400" w:lineRule="exact"/>
                              <w:ind w:left="1100" w:hangingChars="550" w:hanging="1100"/>
                              <w:rPr>
                                <w:rFonts w:ascii="Microsoft YaHei UI" w:eastAsia="Microsoft YaHei UI" w:hAnsi="Microsoft YaHei UI"/>
                                <w:bCs/>
                                <w:sz w:val="20"/>
                                <w:szCs w:val="20"/>
                              </w:rPr>
                            </w:pPr>
                            <w:r w:rsidRPr="00CB4F79">
                              <w:rPr>
                                <w:rFonts w:ascii="Microsoft YaHei UI" w:eastAsia="Microsoft YaHei UI" w:hAnsi="Microsoft YaHei UI" w:hint="eastAsia"/>
                                <w:b/>
                                <w:color w:val="7C6755"/>
                                <w:sz w:val="20"/>
                                <w:szCs w:val="20"/>
                              </w:rPr>
                              <w:t>地理位置：</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801DDF">
                              <w:rPr>
                                <w:rFonts w:ascii="Microsoft YaHei UI" w:eastAsia="Microsoft YaHei UI" w:hAnsi="Microsoft YaHei UI" w:hint="eastAsia"/>
                                <w:b/>
                                <w:color w:val="7C6755"/>
                                <w:sz w:val="20"/>
                                <w:szCs w:val="20"/>
                              </w:rPr>
                              <w:t>新加坡位于马来半岛南端、马六甲海峡出入口，与马来西亚、印度尼西亚相邻</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256800F4" id="矩形: 圆角 3" o:spid="_x0000_s1027" style="position:absolute;left:0;text-align:left;margin-left:5.15pt;margin-top:6.65pt;width:416.35pt;height:18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" fillcolor="window" strokecolor="#e4ca9c" strokeweight="2.25pt">
                <v:stroke joinstyle="miter"/>
                <v:textbox>
                  <w:txbxContent>
                    <w:p w:rsidR="004C5832" w:rsidRDefault="004C5832" w:rsidP="0036365A">
                      <w:pPr>
                        <w:spacing w:line="0" w:lineRule="atLeast"/>
                        <w:jc w:val="center"/>
                        <w:rPr>
                          <w:rFonts w:ascii="Times New Roman" w:eastAsia="Microsoft YaHei UI" w:hAnsi="Times New Roman"/>
                          <w:b/>
                          <w:color w:val="7C6755"/>
                          <w:spacing w:val="9"/>
                          <w:sz w:val="20"/>
                          <w:szCs w:val="20"/>
                        </w:rPr>
                      </w:pPr>
                      <w:r>
                        <w:rPr>
                          <w:rFonts w:ascii="Times New Roman" w:eastAsia="Microsoft YaHei UI" w:hAnsi="Times New Roman"/>
                          <w:b/>
                          <w:color w:val="7C6755"/>
                          <w:spacing w:val="9"/>
                          <w:sz w:val="20"/>
                          <w:szCs w:val="20"/>
                        </w:rPr>
                        <w:t>基本信息</w:t>
                      </w:r>
                    </w:p>
                    <w:p w:rsidR="004C5832" w:rsidRPr="00CB4F79" w:rsidRDefault="004C5832" w:rsidP="0036365A">
                      <w:pPr>
                        <w:tabs>
                          <w:tab w:val="left" w:pos="993"/>
                        </w:tabs>
                        <w:spacing w:line="400" w:lineRule="exact"/>
                        <w:ind w:left="1560" w:hangingChars="780" w:hanging="1560"/>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行政区划</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pacing w:val="9"/>
                          <w:sz w:val="20"/>
                          <w:szCs w:val="20"/>
                        </w:rPr>
                        <w:t>城邦国家，全国共划分为五个社区，由相应社理会管理</w:t>
                      </w:r>
                    </w:p>
                    <w:p w:rsidR="004C5832" w:rsidRPr="00CB4F79" w:rsidRDefault="004C5832" w:rsidP="0036365A">
                      <w:pPr>
                        <w:spacing w:line="400" w:lineRule="exact"/>
                        <w:ind w:left="1394" w:hangingChars="697" w:hanging="1394"/>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官方语言：</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bCs/>
                          <w:color w:val="7C6755"/>
                          <w:spacing w:val="9"/>
                          <w:sz w:val="20"/>
                          <w:szCs w:val="20"/>
                        </w:rPr>
                        <w:t>马来语、华语、泰米尔语和英语；马来语为国语，英语为行政用语</w:t>
                      </w:r>
                    </w:p>
                    <w:p w:rsidR="004C5832" w:rsidRPr="00CB4F79" w:rsidRDefault="004C5832" w:rsidP="0036365A">
                      <w:pPr>
                        <w:spacing w:line="400" w:lineRule="exact"/>
                        <w:ind w:left="2126" w:hangingChars="1063" w:hanging="2126"/>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 xml:space="preserve">货 </w:t>
                      </w:r>
                      <w:r w:rsidRPr="00CB4F79">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z w:val="20"/>
                          <w:szCs w:val="20"/>
                        </w:rPr>
                        <w:t>币：</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pacing w:val="9"/>
                          <w:sz w:val="20"/>
                          <w:szCs w:val="20"/>
                        </w:rPr>
                        <w:t>新加坡元（Singapore Dollar）</w:t>
                      </w:r>
                    </w:p>
                    <w:p w:rsidR="004C5832" w:rsidRPr="00082622" w:rsidRDefault="004C5832" w:rsidP="0036365A">
                      <w:pPr>
                        <w:tabs>
                          <w:tab w:val="left" w:pos="993"/>
                        </w:tabs>
                        <w:spacing w:line="400" w:lineRule="exact"/>
                        <w:ind w:left="1192" w:hangingChars="596" w:hanging="1192"/>
                        <w:rPr>
                          <w:rFonts w:ascii="Microsoft YaHei UI" w:eastAsia="Microsoft YaHei UI" w:hAnsi="Microsoft YaHei UI"/>
                          <w:b/>
                          <w:color w:val="7C6755"/>
                          <w:sz w:val="20"/>
                          <w:szCs w:val="20"/>
                        </w:rPr>
                      </w:pPr>
                      <w:r w:rsidRPr="00CB4F79">
                        <w:rPr>
                          <w:rFonts w:ascii="Microsoft YaHei UI" w:eastAsia="Microsoft YaHei UI" w:hAnsi="Microsoft YaHei UI" w:hint="eastAsia"/>
                          <w:b/>
                          <w:color w:val="7C6755"/>
                          <w:sz w:val="20"/>
                          <w:szCs w:val="20"/>
                        </w:rPr>
                        <w:t xml:space="preserve">人 </w:t>
                      </w:r>
                      <w:r w:rsidRPr="00CB4F79">
                        <w:rPr>
                          <w:rFonts w:ascii="Microsoft YaHei UI" w:eastAsia="Microsoft YaHei UI" w:hAnsi="Microsoft YaHei UI"/>
                          <w:b/>
                          <w:color w:val="7C6755"/>
                          <w:sz w:val="20"/>
                          <w:szCs w:val="20"/>
                        </w:rPr>
                        <w:t xml:space="preserve">   </w:t>
                      </w:r>
                      <w:r w:rsidRPr="00CB4F79">
                        <w:rPr>
                          <w:rFonts w:ascii="Microsoft YaHei UI" w:eastAsia="Microsoft YaHei UI" w:hAnsi="Microsoft YaHei UI" w:hint="eastAsia"/>
                          <w:b/>
                          <w:color w:val="7C6755"/>
                          <w:sz w:val="20"/>
                          <w:szCs w:val="20"/>
                        </w:rPr>
                        <w:t>口：</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801DDF">
                        <w:rPr>
                          <w:rFonts w:ascii="Microsoft YaHei UI" w:eastAsia="Microsoft YaHei UI" w:hAnsi="Microsoft YaHei UI" w:hint="eastAsia"/>
                          <w:b/>
                          <w:color w:val="7C6755"/>
                          <w:sz w:val="20"/>
                          <w:szCs w:val="20"/>
                        </w:rPr>
                        <w:t>主要是近一百多年来从欧亚地区迁移而来的移民及其后裔，其中华人约占总人口的</w:t>
                      </w:r>
                      <w:r w:rsidRPr="00801DDF">
                        <w:rPr>
                          <w:rFonts w:ascii="Microsoft YaHei UI" w:eastAsia="Microsoft YaHei UI" w:hAnsi="Microsoft YaHei UI"/>
                          <w:b/>
                          <w:color w:val="7C6755"/>
                          <w:sz w:val="20"/>
                          <w:szCs w:val="20"/>
                        </w:rPr>
                        <w:t>74%</w:t>
                      </w:r>
                    </w:p>
                    <w:p w:rsidR="004C5832" w:rsidRDefault="004C5832" w:rsidP="0036365A">
                      <w:pPr>
                        <w:spacing w:line="400" w:lineRule="exact"/>
                        <w:ind w:left="1100" w:hangingChars="550" w:hanging="1100"/>
                        <w:rPr>
                          <w:rFonts w:ascii="Microsoft YaHei UI" w:eastAsia="Microsoft YaHei UI" w:hAnsi="Microsoft YaHei UI"/>
                          <w:bCs/>
                          <w:sz w:val="20"/>
                          <w:szCs w:val="20"/>
                        </w:rPr>
                      </w:pPr>
                      <w:r w:rsidRPr="00CB4F79">
                        <w:rPr>
                          <w:rFonts w:ascii="Microsoft YaHei UI" w:eastAsia="Microsoft YaHei UI" w:hAnsi="Microsoft YaHei UI" w:hint="eastAsia"/>
                          <w:b/>
                          <w:color w:val="7C6755"/>
                          <w:sz w:val="20"/>
                          <w:szCs w:val="20"/>
                        </w:rPr>
                        <w:t>地理位置：</w:t>
                      </w:r>
                      <w:r>
                        <w:rPr>
                          <w:rFonts w:ascii="Microsoft YaHei UI" w:eastAsia="Microsoft YaHei UI" w:hAnsi="Microsoft YaHei UI" w:hint="eastAsia"/>
                          <w:b/>
                          <w:color w:val="7C6755"/>
                          <w:sz w:val="20"/>
                          <w:szCs w:val="20"/>
                        </w:rPr>
                        <w:t xml:space="preserve"> </w:t>
                      </w:r>
                      <w:r>
                        <w:rPr>
                          <w:rFonts w:ascii="Microsoft YaHei UI" w:eastAsia="Microsoft YaHei UI" w:hAnsi="Microsoft YaHei UI"/>
                          <w:b/>
                          <w:color w:val="7C6755"/>
                          <w:sz w:val="20"/>
                          <w:szCs w:val="20"/>
                        </w:rPr>
                        <w:t xml:space="preserve"> </w:t>
                      </w:r>
                      <w:r w:rsidRPr="00801DDF">
                        <w:rPr>
                          <w:rFonts w:ascii="Microsoft YaHei UI" w:eastAsia="Microsoft YaHei UI" w:hAnsi="Microsoft YaHei UI" w:hint="eastAsia"/>
                          <w:b/>
                          <w:color w:val="7C6755"/>
                          <w:sz w:val="20"/>
                          <w:szCs w:val="20"/>
                        </w:rPr>
                        <w:t>新加坡位于马来半岛南端、马六甲海峡出入口，与马来西亚、印度尼西亚相邻</w:t>
                      </w:r>
                    </w:p>
                  </w:txbxContent>
                </v:textbox>
                <w10:wrap anchorx="margin"/>
              </v:roundrect>
            </w:pict>
          </mc:Fallback>
        </mc:AlternateContent>
      </w:r>
    </w:p>
    <w:p w:rsidR="0036365A" w:rsidRPr="004853F4" w:rsidRDefault="0036365A" w:rsidP="0036365A">
      <w:pPr>
        <w:ind w:firstLineChars="200" w:firstLine="480"/>
        <w:rPr>
          <w:rFonts w:ascii="KaiTi" w:eastAsia="KaiTi" w:hAnsi="KaiTi"/>
          <w:sz w:val="24"/>
        </w:rPr>
      </w:pPr>
    </w:p>
    <w:p w:rsidR="0036365A" w:rsidRPr="004853F4" w:rsidRDefault="0036365A"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hint="eastAsia"/>
          <w:sz w:val="24"/>
        </w:rPr>
      </w:pPr>
    </w:p>
    <w:p w:rsidR="004853F4" w:rsidRPr="004853F4" w:rsidRDefault="004853F4" w:rsidP="0036365A">
      <w:pPr>
        <w:ind w:firstLineChars="59" w:firstLine="142"/>
        <w:rPr>
          <w:rFonts w:ascii="KaiTi" w:eastAsia="KaiTi" w:hAnsi="KaiTi"/>
          <w:sz w:val="24"/>
        </w:rPr>
      </w:pPr>
    </w:p>
    <w:p w:rsidR="004853F4" w:rsidRPr="004853F4" w:rsidRDefault="004853F4" w:rsidP="0036365A">
      <w:pPr>
        <w:ind w:firstLineChars="59" w:firstLine="142"/>
        <w:rPr>
          <w:rFonts w:ascii="KaiTi" w:eastAsia="KaiTi" w:hAnsi="KaiTi"/>
          <w:sz w:val="24"/>
        </w:rPr>
      </w:pPr>
    </w:p>
    <w:p w:rsidR="0036365A" w:rsidRPr="00A02EA3" w:rsidRDefault="004853F4" w:rsidP="00A02EA3">
      <w:pPr>
        <w:pStyle w:val="a4"/>
        <w:numPr>
          <w:ilvl w:val="0"/>
          <w:numId w:val="14"/>
        </w:numPr>
        <w:spacing w:beforeLines="50" w:before="156" w:afterLines="50" w:after="156" w:line="360" w:lineRule="auto"/>
        <w:ind w:left="567" w:firstLineChars="0" w:hanging="5"/>
        <w:outlineLvl w:val="0"/>
        <w:rPr>
          <w:rFonts w:ascii="楷体" w:eastAsia="楷体" w:hAnsi="楷体" w:cs="楷体"/>
          <w:b/>
          <w:sz w:val="28"/>
          <w:szCs w:val="28"/>
          <w:u w:color="000000"/>
          <w:bdr w:val="nil"/>
        </w:rPr>
      </w:pPr>
      <w:bookmarkStart w:id="1" w:name="_Toc228187421"/>
      <w:r w:rsidRPr="00A02EA3">
        <w:rPr>
          <w:rFonts w:ascii="楷体" w:eastAsia="楷体" w:hAnsi="楷体" w:cs="楷体" w:hint="eastAsia"/>
          <w:b/>
          <w:sz w:val="28"/>
          <w:szCs w:val="28"/>
          <w:u w:color="000000"/>
          <w:bdr w:val="nil"/>
        </w:rPr>
        <w:t>投资制度</w:t>
      </w:r>
      <w:r w:rsidR="00A02EA3">
        <w:rPr>
          <w:rFonts w:ascii="楷体" w:eastAsia="楷体" w:hAnsi="楷体" w:cs="楷体"/>
          <w:b/>
          <w:sz w:val="28"/>
          <w:szCs w:val="28"/>
          <w:u w:color="000000"/>
          <w:bdr w:val="nil"/>
        </w:rPr>
        <w:br/>
      </w:r>
      <w:r w:rsidR="0036365A" w:rsidRPr="00A02EA3">
        <w:rPr>
          <w:rFonts w:ascii="KaiTi" w:eastAsia="KaiTi" w:hAnsi="KaiTi"/>
          <w:b/>
        </w:rPr>
        <w:t>外资准入</w:t>
      </w:r>
      <w:bookmarkEnd w:id="1"/>
    </w:p>
    <w:p w:rsidR="0036365A" w:rsidRPr="004853F4" w:rsidRDefault="0036365A" w:rsidP="0036365A">
      <w:pPr>
        <w:adjustRightInd w:val="0"/>
        <w:snapToGrid w:val="0"/>
        <w:spacing w:beforeLines="25" w:before="78" w:afterLines="25" w:after="78"/>
        <w:ind w:firstLineChars="200" w:firstLine="480"/>
        <w:rPr>
          <w:rFonts w:ascii="KaiTi" w:eastAsia="KaiTi" w:hAnsi="KaiTi"/>
          <w:sz w:val="24"/>
        </w:rPr>
      </w:pPr>
      <w:r w:rsidRPr="004853F4">
        <w:rPr>
          <w:rFonts w:ascii="KaiTi" w:eastAsia="KaiTi" w:hAnsi="KaiTi"/>
          <w:sz w:val="24"/>
        </w:rPr>
        <w:t>新加坡与外资准入相关的主要法律法规包括：《公司法》（Companies Act）、《竞争法》（Competition Act）、《自由贸易区法案》（Free Trade Zones Act）、《不公平合同条款法》（Unfair Contract Terms Act）、《商品交易法》（Commodity Trading Act）及《货物销售法》（Sale Of Goods Act）。</w:t>
      </w:r>
    </w:p>
    <w:p w:rsidR="0036365A" w:rsidRPr="004853F4" w:rsidRDefault="0036365A" w:rsidP="0036365A">
      <w:pPr>
        <w:adjustRightInd w:val="0"/>
        <w:snapToGrid w:val="0"/>
        <w:spacing w:beforeLines="25" w:before="78" w:afterLines="25" w:after="78" w:line="0" w:lineRule="atLeast"/>
        <w:ind w:firstLineChars="200" w:firstLine="480"/>
        <w:rPr>
          <w:rFonts w:ascii="KaiTi" w:eastAsia="KaiTi" w:hAnsi="KaiTi"/>
          <w:sz w:val="24"/>
        </w:rPr>
      </w:pPr>
      <w:r w:rsidRPr="004853F4">
        <w:rPr>
          <w:rFonts w:ascii="KaiTi" w:eastAsia="KaiTi" w:hAnsi="KaiTi"/>
          <w:sz w:val="24"/>
        </w:rPr>
        <w:t>从监管的角度看，在新加坡进行商业活动总体上是十分自由的，对外资无一般性要求或义务，绝大多数产业领域对外资的股权比例等无限制性措施。但仍存在特定法律对</w:t>
      </w:r>
      <w:r w:rsidRPr="004853F4">
        <w:rPr>
          <w:rFonts w:ascii="KaiTi" w:eastAsia="KaiTi" w:hAnsi="KaiTi" w:hint="eastAsia"/>
          <w:sz w:val="24"/>
        </w:rPr>
        <w:t>受管制行业</w:t>
      </w:r>
      <w:r w:rsidRPr="004853F4">
        <w:rPr>
          <w:rFonts w:ascii="KaiTi" w:eastAsia="KaiTi" w:hAnsi="KaiTi"/>
          <w:sz w:val="24"/>
        </w:rPr>
        <w:t>设置外国股权限制、特殊许可或其他要求</w:t>
      </w:r>
      <w:r w:rsidRPr="004853F4">
        <w:rPr>
          <w:rFonts w:ascii="KaiTi" w:eastAsia="KaiTi" w:hAnsi="KaiTi" w:hint="eastAsia"/>
          <w:sz w:val="24"/>
        </w:rPr>
        <w:t>，具体如下</w:t>
      </w:r>
      <w:r w:rsidRPr="004853F4">
        <w:rPr>
          <w:rFonts w:ascii="KaiTi" w:eastAsia="KaiTi" w:hAnsi="KaiTi"/>
          <w:sz w:val="24"/>
        </w:rPr>
        <w:t>：</w:t>
      </w:r>
    </w:p>
    <w:tbl>
      <w:tblPr>
        <w:tblW w:w="5000" w:type="pct"/>
        <w:tblBorders>
          <w:top w:val="single" w:sz="12" w:space="0" w:color="E4CA9C"/>
          <w:left w:val="single" w:sz="12" w:space="0" w:color="E4CA9C"/>
          <w:bottom w:val="single" w:sz="12" w:space="0" w:color="E4CA9C"/>
          <w:right w:val="single" w:sz="12" w:space="0" w:color="E4CA9C"/>
          <w:insideH w:val="single" w:sz="12" w:space="0" w:color="E4CA9C"/>
          <w:insideV w:val="single" w:sz="12" w:space="0" w:color="E4CA9C"/>
        </w:tblBorders>
        <w:tblCellMar>
          <w:left w:w="0" w:type="dxa"/>
          <w:right w:w="0" w:type="dxa"/>
        </w:tblCellMar>
        <w:tblLook w:val="04A0" w:firstRow="1" w:lastRow="0" w:firstColumn="1" w:lastColumn="0" w:noHBand="0" w:noVBand="1"/>
      </w:tblPr>
      <w:tblGrid>
        <w:gridCol w:w="1842"/>
        <w:gridCol w:w="6418"/>
      </w:tblGrid>
      <w:tr w:rsidR="004853F4" w:rsidRPr="004853F4" w:rsidTr="004C5832">
        <w:trPr>
          <w:trHeight w:val="321"/>
        </w:trPr>
        <w:tc>
          <w:tcPr>
            <w:tcW w:w="1115" w:type="pct"/>
            <w:tcBorders>
              <w:left w:val="single" w:sz="18" w:space="0" w:color="E4CA9C"/>
              <w:right w:val="single" w:sz="12"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ind w:leftChars="-17" w:left="18" w:hangingChars="21" w:hanging="54"/>
              <w:jc w:val="center"/>
              <w:rPr>
                <w:rFonts w:ascii="KaiTi" w:eastAsia="KaiTi" w:hAnsi="KaiTi"/>
                <w:b/>
                <w:spacing w:val="9"/>
                <w:sz w:val="24"/>
              </w:rPr>
            </w:pPr>
            <w:bookmarkStart w:id="2" w:name="_Hlk176353653"/>
            <w:r w:rsidRPr="004853F4">
              <w:rPr>
                <w:rFonts w:ascii="KaiTi" w:eastAsia="KaiTi" w:hAnsi="KaiTi"/>
                <w:b/>
                <w:spacing w:val="9"/>
                <w:sz w:val="24"/>
              </w:rPr>
              <w:t>行业</w:t>
            </w:r>
          </w:p>
        </w:tc>
        <w:tc>
          <w:tcPr>
            <w:tcW w:w="3885" w:type="pct"/>
            <w:tcBorders>
              <w:left w:val="single" w:sz="12" w:space="0" w:color="FFFFFF" w:themeColor="background1"/>
              <w:right w:val="single" w:sz="18" w:space="0" w:color="E4CA9C"/>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ind w:firstLineChars="200" w:firstLine="518"/>
              <w:jc w:val="center"/>
              <w:rPr>
                <w:rFonts w:ascii="KaiTi" w:eastAsia="KaiTi" w:hAnsi="KaiTi"/>
                <w:b/>
                <w:spacing w:val="9"/>
                <w:sz w:val="24"/>
              </w:rPr>
            </w:pPr>
            <w:r w:rsidRPr="004853F4">
              <w:rPr>
                <w:rFonts w:ascii="KaiTi" w:eastAsia="KaiTi" w:hAnsi="KaiTi" w:hint="eastAsia"/>
                <w:b/>
                <w:spacing w:val="9"/>
                <w:sz w:val="24"/>
              </w:rPr>
              <w:t>限制</w:t>
            </w:r>
          </w:p>
        </w:tc>
      </w:tr>
      <w:tr w:rsidR="004853F4" w:rsidRPr="004853F4" w:rsidTr="004C5832">
        <w:trPr>
          <w:trHeight w:val="206"/>
        </w:trPr>
        <w:tc>
          <w:tcPr>
            <w:tcW w:w="1115" w:type="pct"/>
            <w:shd w:val="clear" w:color="auto" w:fill="auto"/>
            <w:tcMar>
              <w:top w:w="15" w:type="dxa"/>
              <w:left w:w="15" w:type="dxa"/>
              <w:bottom w:w="0" w:type="dxa"/>
              <w:right w:w="15" w:type="dxa"/>
            </w:tcMar>
            <w:vAlign w:val="center"/>
          </w:tcPr>
          <w:p w:rsidR="0036365A" w:rsidRPr="004853F4" w:rsidRDefault="0036365A" w:rsidP="004C5832">
            <w:pPr>
              <w:spacing w:line="0" w:lineRule="atLeast"/>
              <w:rPr>
                <w:rFonts w:ascii="KaiTi" w:eastAsia="KaiTi" w:hAnsi="KaiTi"/>
                <w:spacing w:val="9"/>
                <w:sz w:val="24"/>
              </w:rPr>
            </w:pPr>
            <w:r w:rsidRPr="004853F4">
              <w:rPr>
                <w:rFonts w:ascii="KaiTi" w:eastAsia="KaiTi" w:hAnsi="KaiTi"/>
                <w:spacing w:val="9"/>
                <w:sz w:val="24"/>
              </w:rPr>
              <w:t>（</w:t>
            </w:r>
            <w:r w:rsidRPr="004853F4">
              <w:rPr>
                <w:rFonts w:ascii="KaiTi" w:eastAsia="KaiTi" w:hAnsi="KaiTi" w:hint="eastAsia"/>
                <w:spacing w:val="9"/>
                <w:sz w:val="24"/>
              </w:rPr>
              <w:t>1</w:t>
            </w:r>
            <w:r w:rsidRPr="004853F4">
              <w:rPr>
                <w:rFonts w:ascii="KaiTi" w:eastAsia="KaiTi" w:hAnsi="KaiTi"/>
                <w:spacing w:val="9"/>
                <w:sz w:val="24"/>
              </w:rPr>
              <w:t>）</w:t>
            </w:r>
            <w:r w:rsidRPr="004853F4">
              <w:rPr>
                <w:rFonts w:ascii="KaiTi" w:eastAsia="KaiTi" w:hAnsi="KaiTi" w:hint="eastAsia"/>
                <w:spacing w:val="9"/>
                <w:sz w:val="24"/>
              </w:rPr>
              <w:t>广播</w:t>
            </w:r>
          </w:p>
        </w:tc>
        <w:tc>
          <w:tcPr>
            <w:tcW w:w="3885"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5"/>
              </w:numPr>
              <w:spacing w:line="0" w:lineRule="atLeast"/>
              <w:ind w:rightChars="50" w:right="105"/>
              <w:rPr>
                <w:rFonts w:ascii="KaiTi" w:eastAsia="KaiTi" w:hAnsi="KaiTi"/>
                <w:spacing w:val="9"/>
                <w:sz w:val="24"/>
              </w:rPr>
            </w:pPr>
            <w:r w:rsidRPr="004853F4">
              <w:rPr>
                <w:rFonts w:ascii="KaiTi" w:eastAsia="KaiTi" w:hAnsi="KaiTi" w:hint="eastAsia"/>
                <w:spacing w:val="9"/>
                <w:sz w:val="24"/>
              </w:rPr>
              <w:t>未经新加坡媒体发展管理局授予广播执照，任何人不得在或向新加坡提供任何受许可的广播服务。</w:t>
            </w:r>
          </w:p>
          <w:p w:rsidR="0036365A" w:rsidRPr="004853F4" w:rsidRDefault="0036365A" w:rsidP="0036365A">
            <w:pPr>
              <w:widowControl/>
              <w:numPr>
                <w:ilvl w:val="0"/>
                <w:numId w:val="5"/>
              </w:numPr>
              <w:spacing w:line="0" w:lineRule="atLeast"/>
              <w:ind w:rightChars="50" w:right="105"/>
              <w:rPr>
                <w:rFonts w:ascii="KaiTi" w:eastAsia="KaiTi" w:hAnsi="KaiTi"/>
                <w:spacing w:val="9"/>
                <w:sz w:val="24"/>
              </w:rPr>
            </w:pPr>
            <w:r w:rsidRPr="004853F4">
              <w:rPr>
                <w:rFonts w:ascii="KaiTi" w:eastAsia="KaiTi" w:hAnsi="KaiTi" w:hint="eastAsia"/>
                <w:spacing w:val="9"/>
                <w:sz w:val="24"/>
              </w:rPr>
              <w:lastRenderedPageBreak/>
              <w:t>下列情形不得被授予或持有广播执照：如果公司中任何外方持有或控制不少于公司或其控股公司49%的股权或表决权；或对公司或其控股公司进项督导、控制或管理的所有或多数人由任何外方任命或习惯于按照任何外方的指示行事。除非</w:t>
            </w:r>
            <w:proofErr w:type="gramStart"/>
            <w:r w:rsidRPr="004853F4">
              <w:rPr>
                <w:rFonts w:ascii="KaiTi" w:eastAsia="KaiTi" w:hAnsi="KaiTi" w:hint="eastAsia"/>
                <w:spacing w:val="9"/>
                <w:sz w:val="24"/>
              </w:rPr>
              <w:t>媒体局</w:t>
            </w:r>
            <w:proofErr w:type="gramEnd"/>
            <w:r w:rsidRPr="004853F4">
              <w:rPr>
                <w:rFonts w:ascii="KaiTi" w:eastAsia="KaiTi" w:hAnsi="KaiTi" w:hint="eastAsia"/>
                <w:spacing w:val="9"/>
                <w:sz w:val="24"/>
              </w:rPr>
              <w:t>另行批准，则当另论。</w:t>
            </w:r>
          </w:p>
        </w:tc>
      </w:tr>
      <w:tr w:rsidR="004853F4" w:rsidRPr="004853F4" w:rsidTr="004C5832">
        <w:trPr>
          <w:trHeight w:val="296"/>
        </w:trPr>
        <w:tc>
          <w:tcPr>
            <w:tcW w:w="1115" w:type="pct"/>
            <w:shd w:val="clear" w:color="auto" w:fill="auto"/>
            <w:tcMar>
              <w:top w:w="15" w:type="dxa"/>
              <w:left w:w="15" w:type="dxa"/>
              <w:bottom w:w="0" w:type="dxa"/>
              <w:right w:w="15" w:type="dxa"/>
            </w:tcMar>
            <w:vAlign w:val="center"/>
          </w:tcPr>
          <w:p w:rsidR="0036365A" w:rsidRPr="004853F4" w:rsidRDefault="0036365A" w:rsidP="004C5832">
            <w:pPr>
              <w:spacing w:line="0" w:lineRule="atLeast"/>
              <w:rPr>
                <w:rFonts w:ascii="KaiTi" w:eastAsia="KaiTi" w:hAnsi="KaiTi"/>
                <w:spacing w:val="9"/>
                <w:sz w:val="24"/>
              </w:rPr>
            </w:pPr>
            <w:r w:rsidRPr="004853F4">
              <w:rPr>
                <w:rFonts w:ascii="KaiTi" w:eastAsia="KaiTi" w:hAnsi="KaiTi"/>
                <w:spacing w:val="9"/>
                <w:sz w:val="24"/>
              </w:rPr>
              <w:lastRenderedPageBreak/>
              <w:t>（</w:t>
            </w:r>
            <w:r w:rsidRPr="004853F4">
              <w:rPr>
                <w:rFonts w:ascii="KaiTi" w:eastAsia="KaiTi" w:hAnsi="KaiTi" w:hint="eastAsia"/>
                <w:spacing w:val="9"/>
                <w:sz w:val="24"/>
              </w:rPr>
              <w:t>2</w:t>
            </w:r>
            <w:r w:rsidRPr="004853F4">
              <w:rPr>
                <w:rFonts w:ascii="KaiTi" w:eastAsia="KaiTi" w:hAnsi="KaiTi"/>
                <w:spacing w:val="9"/>
                <w:sz w:val="24"/>
              </w:rPr>
              <w:t>）</w:t>
            </w:r>
            <w:r w:rsidRPr="004853F4">
              <w:rPr>
                <w:rFonts w:ascii="KaiTi" w:eastAsia="KaiTi" w:hAnsi="KaiTi" w:hint="eastAsia"/>
                <w:spacing w:val="9"/>
                <w:sz w:val="24"/>
              </w:rPr>
              <w:t>印刷媒体</w:t>
            </w:r>
          </w:p>
        </w:tc>
        <w:tc>
          <w:tcPr>
            <w:tcW w:w="3885" w:type="pct"/>
            <w:shd w:val="clear" w:color="auto" w:fill="auto"/>
            <w:vAlign w:val="center"/>
          </w:tcPr>
          <w:p w:rsidR="0036365A" w:rsidRPr="004853F4" w:rsidRDefault="0036365A" w:rsidP="0036365A">
            <w:pPr>
              <w:widowControl/>
              <w:numPr>
                <w:ilvl w:val="0"/>
                <w:numId w:val="5"/>
              </w:numPr>
              <w:spacing w:line="0" w:lineRule="atLeast"/>
              <w:ind w:rightChars="50" w:right="105"/>
              <w:rPr>
                <w:rFonts w:ascii="KaiTi" w:eastAsia="KaiTi" w:hAnsi="KaiTi"/>
                <w:spacing w:val="9"/>
                <w:sz w:val="24"/>
              </w:rPr>
            </w:pPr>
            <w:r w:rsidRPr="004853F4">
              <w:rPr>
                <w:rFonts w:ascii="KaiTi" w:eastAsia="KaiTi" w:hAnsi="KaiTi" w:hint="eastAsia"/>
                <w:spacing w:val="9"/>
                <w:sz w:val="24"/>
              </w:rPr>
              <w:t>仅有报业公司可在新加坡出版报刊。在每个报业公司中，所有董事均为新加坡人，且有2个类别的股份，分别为管理股和普通股。</w:t>
            </w:r>
          </w:p>
          <w:p w:rsidR="0036365A" w:rsidRPr="004853F4" w:rsidRDefault="0036365A" w:rsidP="0036365A">
            <w:pPr>
              <w:widowControl/>
              <w:numPr>
                <w:ilvl w:val="0"/>
                <w:numId w:val="5"/>
              </w:numPr>
              <w:spacing w:line="0" w:lineRule="atLeast"/>
              <w:ind w:rightChars="50" w:right="105"/>
              <w:rPr>
                <w:rFonts w:ascii="KaiTi" w:eastAsia="KaiTi" w:hAnsi="KaiTi"/>
                <w:spacing w:val="9"/>
                <w:sz w:val="24"/>
              </w:rPr>
            </w:pPr>
            <w:r w:rsidRPr="004853F4">
              <w:rPr>
                <w:rFonts w:ascii="KaiTi" w:eastAsia="KaiTi" w:hAnsi="KaiTi" w:hint="eastAsia"/>
                <w:spacing w:val="9"/>
                <w:sz w:val="24"/>
              </w:rPr>
              <w:t>其中，管理股仅可向由</w:t>
            </w:r>
            <w:proofErr w:type="gramStart"/>
            <w:r w:rsidRPr="004853F4">
              <w:rPr>
                <w:rFonts w:ascii="KaiTi" w:eastAsia="KaiTi" w:hAnsi="KaiTi" w:hint="eastAsia"/>
                <w:spacing w:val="9"/>
                <w:sz w:val="24"/>
              </w:rPr>
              <w:t>媒体局</w:t>
            </w:r>
            <w:proofErr w:type="gramEnd"/>
            <w:r w:rsidRPr="004853F4">
              <w:rPr>
                <w:rFonts w:ascii="KaiTi" w:eastAsia="KaiTi" w:hAnsi="KaiTi" w:hint="eastAsia"/>
                <w:spacing w:val="9"/>
                <w:sz w:val="24"/>
              </w:rPr>
              <w:t>授予书面批准的新加坡公民或公司发行或转让。</w:t>
            </w:r>
          </w:p>
        </w:tc>
      </w:tr>
      <w:tr w:rsidR="004853F4" w:rsidRPr="004853F4" w:rsidTr="004C5832">
        <w:trPr>
          <w:trHeight w:val="372"/>
        </w:trPr>
        <w:tc>
          <w:tcPr>
            <w:tcW w:w="1115" w:type="pct"/>
            <w:shd w:val="clear" w:color="auto" w:fill="auto"/>
            <w:tcMar>
              <w:top w:w="15" w:type="dxa"/>
              <w:left w:w="15" w:type="dxa"/>
              <w:bottom w:w="0" w:type="dxa"/>
              <w:right w:w="15" w:type="dxa"/>
            </w:tcMar>
            <w:vAlign w:val="center"/>
          </w:tcPr>
          <w:p w:rsidR="0036365A" w:rsidRPr="004853F4" w:rsidRDefault="0036365A" w:rsidP="004C5832">
            <w:pPr>
              <w:spacing w:line="0" w:lineRule="atLeast"/>
              <w:rPr>
                <w:rFonts w:ascii="KaiTi" w:eastAsia="KaiTi" w:hAnsi="KaiTi"/>
                <w:spacing w:val="9"/>
                <w:sz w:val="24"/>
              </w:rPr>
            </w:pPr>
            <w:r w:rsidRPr="004853F4">
              <w:rPr>
                <w:rFonts w:ascii="KaiTi" w:eastAsia="KaiTi" w:hAnsi="KaiTi" w:hint="eastAsia"/>
                <w:spacing w:val="9"/>
                <w:sz w:val="24"/>
              </w:rPr>
              <w:t>（3）住宅房地产</w:t>
            </w:r>
          </w:p>
        </w:tc>
        <w:tc>
          <w:tcPr>
            <w:tcW w:w="3885" w:type="pct"/>
            <w:shd w:val="clear" w:color="auto" w:fill="auto"/>
            <w:vAlign w:val="center"/>
          </w:tcPr>
          <w:p w:rsidR="0036365A" w:rsidRPr="004853F4" w:rsidRDefault="0036365A" w:rsidP="0036365A">
            <w:pPr>
              <w:widowControl/>
              <w:numPr>
                <w:ilvl w:val="0"/>
                <w:numId w:val="5"/>
              </w:numPr>
              <w:spacing w:line="0" w:lineRule="atLeast"/>
              <w:ind w:rightChars="50" w:right="105"/>
              <w:rPr>
                <w:rFonts w:ascii="KaiTi" w:eastAsia="KaiTi" w:hAnsi="KaiTi"/>
                <w:spacing w:val="9"/>
                <w:sz w:val="24"/>
              </w:rPr>
            </w:pPr>
            <w:r w:rsidRPr="004853F4">
              <w:rPr>
                <w:rFonts w:ascii="KaiTi" w:eastAsia="KaiTi" w:hAnsi="KaiTi" w:hint="eastAsia"/>
                <w:spacing w:val="9"/>
                <w:sz w:val="24"/>
              </w:rPr>
              <w:t>未经新加坡土地管理局土地交易审批部门批准，外国人不能购买某些受限制的住宅房地产；这类受限制的住宅房地产包括空置住宅用地、有地住宅房地产、不是规划法令下经批准的公寓开发的分层有地住宅、店屋（非商业用途）、协会场所、礼拜场所及未在酒店业法令规定下登记的工人宿舍或服务公寓或寄宿公寓。</w:t>
            </w:r>
          </w:p>
        </w:tc>
      </w:tr>
      <w:tr w:rsidR="004853F4" w:rsidRPr="004853F4" w:rsidTr="004C5832">
        <w:trPr>
          <w:trHeight w:val="372"/>
        </w:trPr>
        <w:tc>
          <w:tcPr>
            <w:tcW w:w="1115" w:type="pct"/>
            <w:shd w:val="clear" w:color="auto" w:fill="auto"/>
            <w:tcMar>
              <w:top w:w="15" w:type="dxa"/>
              <w:left w:w="15" w:type="dxa"/>
              <w:bottom w:w="0" w:type="dxa"/>
              <w:right w:w="15" w:type="dxa"/>
            </w:tcMar>
            <w:vAlign w:val="center"/>
          </w:tcPr>
          <w:p w:rsidR="0036365A" w:rsidRPr="004853F4" w:rsidRDefault="0036365A" w:rsidP="004C5832">
            <w:pPr>
              <w:spacing w:line="0" w:lineRule="atLeast"/>
              <w:rPr>
                <w:rFonts w:ascii="KaiTi" w:eastAsia="KaiTi" w:hAnsi="KaiTi"/>
                <w:spacing w:val="9"/>
                <w:sz w:val="24"/>
              </w:rPr>
            </w:pPr>
            <w:r w:rsidRPr="004853F4">
              <w:rPr>
                <w:rFonts w:ascii="KaiTi" w:eastAsia="KaiTi" w:hAnsi="KaiTi" w:hint="eastAsia"/>
                <w:spacing w:val="9"/>
                <w:sz w:val="24"/>
              </w:rPr>
              <w:t>（4）农业投资合作</w:t>
            </w:r>
          </w:p>
        </w:tc>
        <w:tc>
          <w:tcPr>
            <w:tcW w:w="3885" w:type="pct"/>
            <w:shd w:val="clear" w:color="auto" w:fill="auto"/>
            <w:vAlign w:val="center"/>
          </w:tcPr>
          <w:p w:rsidR="0036365A" w:rsidRPr="004853F4" w:rsidRDefault="0036365A" w:rsidP="0036365A">
            <w:pPr>
              <w:widowControl/>
              <w:numPr>
                <w:ilvl w:val="0"/>
                <w:numId w:val="5"/>
              </w:numPr>
              <w:spacing w:line="0" w:lineRule="atLeast"/>
              <w:ind w:rightChars="50" w:right="105"/>
              <w:rPr>
                <w:rFonts w:ascii="KaiTi" w:eastAsia="KaiTi" w:hAnsi="KaiTi"/>
                <w:spacing w:val="9"/>
                <w:sz w:val="24"/>
              </w:rPr>
            </w:pPr>
            <w:r w:rsidRPr="004853F4">
              <w:rPr>
                <w:rFonts w:ascii="KaiTi" w:eastAsia="KaiTi" w:hAnsi="KaiTi" w:hint="eastAsia"/>
                <w:spacing w:val="9"/>
                <w:sz w:val="24"/>
              </w:rPr>
              <w:t>外资取得农业耕地所有权和承包经营权需要经新加坡土地管理局批准。一般来说，外资参与农业投资合作时仅可依新加坡土地管理局或城市发展局批准的用途使用土地。而且，在其处置、租赁或抵押该土地前需要取得新加坡土地管理局的批准。</w:t>
            </w:r>
          </w:p>
        </w:tc>
      </w:tr>
      <w:bookmarkEnd w:id="2"/>
    </w:tbl>
    <w:p w:rsidR="0036365A" w:rsidRPr="004853F4" w:rsidRDefault="0036365A" w:rsidP="0036365A">
      <w:pPr>
        <w:spacing w:beforeLines="25" w:before="78" w:afterLines="25" w:after="78" w:line="0" w:lineRule="atLeast"/>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新加坡对外资企业实行无差别的国民待遇。外资在新设立企业，注册手续简便，一般无出资比例和出资方式的限制，外汇自由进出，政府对内外资企业的监管一视同仁。</w:t>
      </w:r>
    </w:p>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3" w:name="_Toc228187422"/>
      <w:r w:rsidRPr="00A02EA3">
        <w:rPr>
          <w:rFonts w:ascii="楷体" w:eastAsia="楷体" w:hAnsi="楷体" w:cs="楷体"/>
          <w:b/>
          <w:sz w:val="28"/>
          <w:szCs w:val="28"/>
          <w:u w:color="000000"/>
          <w:bdr w:val="nil"/>
        </w:rPr>
        <w:t>公司设立</w:t>
      </w:r>
      <w:bookmarkEnd w:id="3"/>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在新加坡投资设立企业的形式主要有：公司代表处或办事处、分公司、私人有限公司、股份有限公司和有限责任公司等。会计与企业管理局（ACRA）是《公司法令》和《有限责任合伙法令2005》的执行机构，负责监管新加坡的公司、商业机构、有限责任合伙以及公共会计师。新加坡国际企业发展局负责为制造业、贸易、贸易物流及与贸易有关的服务业注册代表处。新加坡金融管理局负责为银行业、金融业和保险业注册代表处。</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新加坡设立企业的形式及注册要求主要如下：</w:t>
      </w:r>
    </w:p>
    <w:tbl>
      <w:tblPr>
        <w:tblW w:w="5000" w:type="pct"/>
        <w:tblBorders>
          <w:top w:val="single" w:sz="12" w:space="0" w:color="E4CA9C"/>
          <w:left w:val="single" w:sz="12" w:space="0" w:color="E4CA9C"/>
          <w:bottom w:val="single" w:sz="12" w:space="0" w:color="E4CA9C"/>
          <w:right w:val="single" w:sz="12" w:space="0" w:color="E4CA9C"/>
          <w:insideH w:val="single" w:sz="12" w:space="0" w:color="E4CA9C"/>
          <w:insideV w:val="single" w:sz="12" w:space="0" w:color="E4CA9C"/>
        </w:tblBorders>
        <w:tblCellMar>
          <w:left w:w="0" w:type="dxa"/>
          <w:right w:w="0" w:type="dxa"/>
        </w:tblCellMar>
        <w:tblLook w:val="04A0" w:firstRow="1" w:lastRow="0" w:firstColumn="1" w:lastColumn="0" w:noHBand="0" w:noVBand="1"/>
      </w:tblPr>
      <w:tblGrid>
        <w:gridCol w:w="1109"/>
        <w:gridCol w:w="7167"/>
      </w:tblGrid>
      <w:tr w:rsidR="004853F4" w:rsidRPr="004853F4" w:rsidTr="004C5832">
        <w:trPr>
          <w:trHeight w:val="452"/>
        </w:trPr>
        <w:tc>
          <w:tcPr>
            <w:tcW w:w="670" w:type="pct"/>
            <w:tcBorders>
              <w:bottom w:val="single" w:sz="12"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bookmarkStart w:id="4" w:name="_Hlk180051048"/>
            <w:r w:rsidRPr="004853F4">
              <w:rPr>
                <w:rFonts w:ascii="KaiTi" w:eastAsia="KaiTi" w:hAnsi="KaiTi" w:hint="eastAsia"/>
                <w:b/>
                <w:spacing w:val="9"/>
                <w:sz w:val="24"/>
              </w:rPr>
              <w:t>公司</w:t>
            </w:r>
          </w:p>
        </w:tc>
        <w:tc>
          <w:tcPr>
            <w:tcW w:w="4330"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新加坡的公司必须至少有一名董事是新加坡公民、新加坡永久居民或者持有新加坡就业准证</w:t>
            </w:r>
            <w:r w:rsidRPr="004853F4">
              <w:rPr>
                <w:rFonts w:ascii="KaiTi" w:eastAsia="KaiTi" w:hAnsi="KaiTi"/>
                <w:spacing w:val="9"/>
                <w:sz w:val="24"/>
              </w:rPr>
              <w:t>/原则同意书/家属准证</w:t>
            </w:r>
            <w:r w:rsidRPr="004853F4">
              <w:rPr>
                <w:rFonts w:ascii="KaiTi" w:eastAsia="KaiTi" w:hAnsi="KaiTi" w:hint="eastAsia"/>
                <w:spacing w:val="9"/>
                <w:sz w:val="24"/>
              </w:rPr>
              <w:t>的人员，至少有一名秘书的主要或唯一居住地是新加坡。公司必须自注册成立之日起，设立已登记的办事处，并且必须自成立之日起3个月内任命审计师。</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lastRenderedPageBreak/>
              <w:t>公司必须按照新加坡第50号法案《公司法》及相关附属法律规定的程序在公司注册局注册登记。公司可以通过</w:t>
            </w:r>
            <w:proofErr w:type="spellStart"/>
            <w:r w:rsidRPr="004853F4">
              <w:rPr>
                <w:rFonts w:ascii="KaiTi" w:eastAsia="KaiTi" w:hAnsi="KaiTi" w:hint="eastAsia"/>
                <w:spacing w:val="9"/>
                <w:sz w:val="24"/>
              </w:rPr>
              <w:t>BizFile</w:t>
            </w:r>
            <w:proofErr w:type="spellEnd"/>
            <w:r w:rsidRPr="004853F4">
              <w:rPr>
                <w:rFonts w:ascii="KaiTi" w:eastAsia="KaiTi" w:hAnsi="KaiTi" w:hint="eastAsia"/>
                <w:spacing w:val="9"/>
                <w:sz w:val="24"/>
              </w:rPr>
              <w:t>+系统进行在线注册。</w:t>
            </w:r>
            <w:proofErr w:type="spellStart"/>
            <w:r w:rsidRPr="004853F4">
              <w:rPr>
                <w:rFonts w:ascii="KaiTi" w:eastAsia="KaiTi" w:hAnsi="KaiTi" w:hint="eastAsia"/>
                <w:spacing w:val="9"/>
                <w:sz w:val="24"/>
              </w:rPr>
              <w:t>BizFile</w:t>
            </w:r>
            <w:proofErr w:type="spellEnd"/>
            <w:r w:rsidRPr="004853F4">
              <w:rPr>
                <w:rFonts w:ascii="KaiTi" w:eastAsia="KaiTi" w:hAnsi="KaiTi" w:hint="eastAsia"/>
                <w:spacing w:val="9"/>
                <w:sz w:val="24"/>
              </w:rPr>
              <w:t>+系统是由会计和企业管理局（ACRA）管理的电子申请和信息检索系统，会计和企业管理局是对新加坡的商业实体、公共会计师和公司服务提供商进行监督管理的国家监管机构。</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可以通过在线商业注册服务注册公司和申请所需的许可证，也可以通过专业事务所或服务事务处代为注册。</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在注册公司之前，需要确定公司商业活动的性质。可通过会计与企业管理局网站（</w:t>
            </w:r>
            <w:r w:rsidRPr="004853F4">
              <w:rPr>
                <w:rFonts w:ascii="KaiTi" w:eastAsia="KaiTi" w:hAnsi="KaiTi"/>
                <w:spacing w:val="9"/>
                <w:sz w:val="24"/>
              </w:rPr>
              <w:t>www.acra.gov.sg）的SSIC Search在线查找商业活动的相应新加坡标准产业分类（SSIC）代码。</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公司在进行某些范围的商业活动前，还需要获得许可证。如公众娱乐、食品商店、广告等。</w:t>
            </w:r>
          </w:p>
        </w:tc>
      </w:tr>
      <w:tr w:rsidR="004853F4" w:rsidRPr="004853F4" w:rsidTr="004C5832">
        <w:trPr>
          <w:trHeight w:val="452"/>
        </w:trPr>
        <w:tc>
          <w:tcPr>
            <w:tcW w:w="670" w:type="pct"/>
            <w:tcBorders>
              <w:top w:val="single" w:sz="12" w:space="0" w:color="FFFFFF" w:themeColor="background1"/>
              <w:bottom w:val="single" w:sz="12"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lastRenderedPageBreak/>
              <w:t>外国公司的分支机构</w:t>
            </w:r>
          </w:p>
        </w:tc>
        <w:tc>
          <w:tcPr>
            <w:tcW w:w="4330"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proofErr w:type="gramStart"/>
            <w:r w:rsidRPr="004853F4">
              <w:rPr>
                <w:rFonts w:ascii="KaiTi" w:eastAsia="KaiTi" w:hAnsi="KaiTi" w:hint="eastAsia"/>
                <w:spacing w:val="9"/>
                <w:sz w:val="24"/>
              </w:rPr>
              <w:t>该形式</w:t>
            </w:r>
            <w:proofErr w:type="gramEnd"/>
            <w:r w:rsidRPr="004853F4">
              <w:rPr>
                <w:rFonts w:ascii="KaiTi" w:eastAsia="KaiTi" w:hAnsi="KaiTi" w:hint="eastAsia"/>
                <w:spacing w:val="9"/>
                <w:sz w:val="24"/>
              </w:rPr>
              <w:t>的商业组织只适用于外国公司，</w:t>
            </w:r>
            <w:r w:rsidRPr="004853F4">
              <w:rPr>
                <w:rFonts w:ascii="KaiTi" w:eastAsia="KaiTi" w:hAnsi="KaiTi"/>
                <w:spacing w:val="9"/>
                <w:sz w:val="24"/>
              </w:rPr>
              <w:t>外国公司必须在新加坡有至少一位本地代理人代表公司。代理人必须是新加坡公民、新加坡永久居民或者持有新加坡就业准证/原则同意书/家属准证</w:t>
            </w:r>
            <w:r w:rsidRPr="004853F4">
              <w:rPr>
                <w:rFonts w:ascii="KaiTi" w:eastAsia="KaiTi" w:hAnsi="KaiTi" w:hint="eastAsia"/>
                <w:spacing w:val="9"/>
                <w:sz w:val="24"/>
              </w:rPr>
              <w:t>的人员</w:t>
            </w:r>
            <w:r w:rsidRPr="004853F4">
              <w:rPr>
                <w:rFonts w:ascii="KaiTi" w:eastAsia="KaiTi" w:hAnsi="KaiTi"/>
                <w:spacing w:val="9"/>
                <w:sz w:val="24"/>
              </w:rPr>
              <w:t>。外国人也可作为外国公司在本地的代理人，需向新加坡人力资源部（MOM）工</w:t>
            </w:r>
            <w:proofErr w:type="gramStart"/>
            <w:r w:rsidRPr="004853F4">
              <w:rPr>
                <w:rFonts w:ascii="KaiTi" w:eastAsia="KaiTi" w:hAnsi="KaiTi"/>
                <w:spacing w:val="9"/>
                <w:sz w:val="24"/>
              </w:rPr>
              <w:t>作准证署申请</w:t>
            </w:r>
            <w:proofErr w:type="gramEnd"/>
            <w:r w:rsidRPr="004853F4">
              <w:rPr>
                <w:rFonts w:ascii="KaiTi" w:eastAsia="KaiTi" w:hAnsi="KaiTi"/>
                <w:spacing w:val="9"/>
                <w:sz w:val="24"/>
              </w:rPr>
              <w:t>就业准证或原则同意书</w:t>
            </w:r>
            <w:r w:rsidRPr="004853F4">
              <w:rPr>
                <w:rFonts w:ascii="KaiTi" w:eastAsia="KaiTi" w:hAnsi="KaiTi" w:hint="eastAsia"/>
                <w:spacing w:val="9"/>
                <w:sz w:val="24"/>
              </w:rPr>
              <w:t>。</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所有营业地在新加坡或在新加坡实际营业的外国公司都负有注册登记的义务。</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需聘请专业人士帮助准备所需文件并在会计与企业管理局网站通过商业文件系统（</w:t>
            </w:r>
            <w:proofErr w:type="spellStart"/>
            <w:r w:rsidRPr="004853F4">
              <w:rPr>
                <w:rFonts w:ascii="KaiTi" w:eastAsia="KaiTi" w:hAnsi="KaiTi"/>
                <w:spacing w:val="9"/>
                <w:sz w:val="24"/>
              </w:rPr>
              <w:t>Bizfile</w:t>
            </w:r>
            <w:proofErr w:type="spellEnd"/>
            <w:r w:rsidRPr="004853F4">
              <w:rPr>
                <w:rFonts w:ascii="KaiTi" w:eastAsia="KaiTi" w:hAnsi="KaiTi"/>
                <w:spacing w:val="9"/>
                <w:sz w:val="24"/>
              </w:rPr>
              <w:t>）申请注册。</w:t>
            </w:r>
          </w:p>
        </w:tc>
      </w:tr>
      <w:tr w:rsidR="004853F4" w:rsidRPr="004853F4" w:rsidTr="004C5832">
        <w:trPr>
          <w:trHeight w:val="452"/>
        </w:trPr>
        <w:tc>
          <w:tcPr>
            <w:tcW w:w="670" w:type="pct"/>
            <w:tcBorders>
              <w:top w:val="single" w:sz="12" w:space="0" w:color="FFFFFF" w:themeColor="background1"/>
              <w:bottom w:val="single" w:sz="12"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代表处</w:t>
            </w:r>
          </w:p>
        </w:tc>
        <w:tc>
          <w:tcPr>
            <w:tcW w:w="4330"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外国公司也可以在新加坡设立代表处。然而，代表处可从事的活动仅限于市场调研和可行性研究。</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申请设立代表处可以在新加坡国际企业发展局的网站</w:t>
            </w:r>
            <w:r w:rsidRPr="004853F4">
              <w:rPr>
                <w:rFonts w:ascii="KaiTi" w:eastAsia="KaiTi" w:hAnsi="KaiTi"/>
                <w:spacing w:val="9"/>
                <w:sz w:val="24"/>
              </w:rPr>
              <w:t>下载注册表格或在roms.iesingapore.gov.sg</w:t>
            </w:r>
            <w:r w:rsidRPr="004853F4">
              <w:rPr>
                <w:rFonts w:ascii="KaiTi" w:eastAsia="KaiTi" w:hAnsi="KaiTi" w:hint="eastAsia"/>
                <w:spacing w:val="9"/>
                <w:sz w:val="24"/>
              </w:rPr>
              <w:t>在线</w:t>
            </w:r>
            <w:r w:rsidRPr="004853F4">
              <w:rPr>
                <w:rFonts w:ascii="KaiTi" w:eastAsia="KaiTi" w:hAnsi="KaiTi"/>
                <w:spacing w:val="9"/>
                <w:sz w:val="24"/>
              </w:rPr>
              <w:t>注册</w:t>
            </w:r>
            <w:r w:rsidRPr="004853F4">
              <w:rPr>
                <w:rFonts w:ascii="KaiTi" w:eastAsia="KaiTi" w:hAnsi="KaiTi" w:hint="eastAsia"/>
                <w:spacing w:val="9"/>
                <w:sz w:val="24"/>
              </w:rPr>
              <w:t>，申请须附上规定的文件和信息。代表机构自其成立之日起，最多在新加坡存续3年，并且每年在新加坡国际企业发展局评估后更新登记一次。</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设立银行、金融及保险业的代表处需事先向新加坡金融管理局申请注册。</w:t>
            </w:r>
          </w:p>
        </w:tc>
      </w:tr>
      <w:tr w:rsidR="004853F4" w:rsidRPr="004853F4" w:rsidTr="004C5832">
        <w:trPr>
          <w:trHeight w:val="452"/>
        </w:trPr>
        <w:tc>
          <w:tcPr>
            <w:tcW w:w="670" w:type="pct"/>
            <w:tcBorders>
              <w:top w:val="single" w:sz="12" w:space="0" w:color="FFFFFF" w:themeColor="background1"/>
              <w:bottom w:val="single" w:sz="12"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独资企业与合伙企业</w:t>
            </w:r>
          </w:p>
        </w:tc>
        <w:tc>
          <w:tcPr>
            <w:tcW w:w="4330"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除了某些例外情况（例如个人仅以其个人名义开展业务），所有人员必须按照2014年《商业名称注册法》（2014年第29号法案）和2015年《商业名称注册条例》中规定的程序向商业名称注册局注册本人及其企业名称，可以通过</w:t>
            </w:r>
            <w:proofErr w:type="spellStart"/>
            <w:r w:rsidRPr="004853F4">
              <w:rPr>
                <w:rFonts w:ascii="KaiTi" w:eastAsia="KaiTi" w:hAnsi="KaiTi" w:hint="eastAsia"/>
                <w:spacing w:val="9"/>
                <w:sz w:val="24"/>
              </w:rPr>
              <w:t>BizFile</w:t>
            </w:r>
            <w:proofErr w:type="spellEnd"/>
            <w:r w:rsidRPr="004853F4">
              <w:rPr>
                <w:rFonts w:ascii="KaiTi" w:eastAsia="KaiTi" w:hAnsi="KaiTi" w:hint="eastAsia"/>
                <w:spacing w:val="9"/>
                <w:sz w:val="24"/>
              </w:rPr>
              <w:t>+系统进行在线注册。名称注册在商业名称注册员规定的期限内有效，并且可以在经商业名称注册</w:t>
            </w:r>
            <w:proofErr w:type="gramStart"/>
            <w:r w:rsidRPr="004853F4">
              <w:rPr>
                <w:rFonts w:ascii="KaiTi" w:eastAsia="KaiTi" w:hAnsi="KaiTi" w:hint="eastAsia"/>
                <w:spacing w:val="9"/>
                <w:sz w:val="24"/>
              </w:rPr>
              <w:t>员批准</w:t>
            </w:r>
            <w:proofErr w:type="gramEnd"/>
            <w:r w:rsidRPr="004853F4">
              <w:rPr>
                <w:rFonts w:ascii="KaiTi" w:eastAsia="KaiTi" w:hAnsi="KaiTi" w:hint="eastAsia"/>
                <w:spacing w:val="9"/>
                <w:sz w:val="24"/>
              </w:rPr>
              <w:t>的期限内续期。</w:t>
            </w:r>
          </w:p>
        </w:tc>
      </w:tr>
      <w:tr w:rsidR="004853F4" w:rsidRPr="004853F4" w:rsidTr="004C5832">
        <w:trPr>
          <w:trHeight w:val="452"/>
        </w:trPr>
        <w:tc>
          <w:tcPr>
            <w:tcW w:w="670" w:type="pct"/>
            <w:tcBorders>
              <w:top w:val="single" w:sz="12" w:space="0" w:color="FFFFFF" w:themeColor="background1"/>
              <w:bottom w:val="single" w:sz="12" w:space="0" w:color="E4CA9C"/>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有限合伙（LP）</w:t>
            </w:r>
          </w:p>
        </w:tc>
        <w:tc>
          <w:tcPr>
            <w:tcW w:w="4330" w:type="pct"/>
            <w:tcBorders>
              <w:bottom w:val="single" w:sz="12" w:space="0" w:color="E4CA9C"/>
            </w:tcBorders>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有限合伙不是法人实体，也没有独立的法人资格。因此，有限合伙不能以自己的名义拥有财产，也不能以自己的名义提起诉讼或被诉。有限合伙必须至少拥有一名有限合伙人和一名普通合伙人，合伙人可以是个人或公司。普通合伙人在其担任</w:t>
            </w:r>
            <w:r w:rsidRPr="004853F4">
              <w:rPr>
                <w:rFonts w:ascii="KaiTi" w:eastAsia="KaiTi" w:hAnsi="KaiTi" w:hint="eastAsia"/>
                <w:spacing w:val="9"/>
                <w:sz w:val="24"/>
              </w:rPr>
              <w:lastRenderedPageBreak/>
              <w:t>普通合伙人期间对有限合伙的所有债务和责任负责。有限合伙人不对超过其认缴金额的债务及责任负责，但不排除某些例外。享有有限责任的同时，有限合伙人不得参与有限合伙的管理。</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有限合伙应根据第163 B号法案《有限合伙法》及其规定的程序向有限合伙企业注册局进行注册，并且可以通过</w:t>
            </w:r>
            <w:proofErr w:type="spellStart"/>
            <w:r w:rsidRPr="004853F4">
              <w:rPr>
                <w:rFonts w:ascii="KaiTi" w:eastAsia="KaiTi" w:hAnsi="KaiTi" w:hint="eastAsia"/>
                <w:spacing w:val="9"/>
                <w:sz w:val="24"/>
              </w:rPr>
              <w:t>BizFile</w:t>
            </w:r>
            <w:proofErr w:type="spellEnd"/>
            <w:r w:rsidRPr="004853F4">
              <w:rPr>
                <w:rFonts w:ascii="KaiTi" w:eastAsia="KaiTi" w:hAnsi="KaiTi" w:hint="eastAsia"/>
                <w:spacing w:val="9"/>
                <w:sz w:val="24"/>
              </w:rPr>
              <w:t>+系统进行在线注册。有限合伙注册有效期为自注册之日起1年。企业每年都应在到期日或到期日前重新进行注册。</w:t>
            </w:r>
          </w:p>
        </w:tc>
      </w:tr>
      <w:tr w:rsidR="004853F4" w:rsidRPr="004853F4" w:rsidTr="004C5832">
        <w:trPr>
          <w:trHeight w:val="452"/>
        </w:trPr>
        <w:tc>
          <w:tcPr>
            <w:tcW w:w="670" w:type="pct"/>
            <w:tcBorders>
              <w:top w:val="single" w:sz="12" w:space="0" w:color="E4CA9C"/>
              <w:bottom w:val="single" w:sz="12" w:space="0" w:color="FFFFFF" w:themeColor="background1"/>
              <w:right w:val="single" w:sz="4"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lastRenderedPageBreak/>
              <w:t>有限责任合伙企业（LLP）</w:t>
            </w:r>
          </w:p>
        </w:tc>
        <w:tc>
          <w:tcPr>
            <w:tcW w:w="4330" w:type="pct"/>
            <w:tcBorders>
              <w:top w:val="single" w:sz="12" w:space="0" w:color="E4CA9C"/>
              <w:left w:val="single" w:sz="4" w:space="0" w:color="FFFFFF" w:themeColor="background1"/>
            </w:tcBorders>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两个或两个以上主体可以通过有限责任合伙企业开展以营利为目的的合法业务，其本质上是一个承担有限责任的合伙企业。但是与合伙企业不同的是，有限责任合伙企业是法人团体，具有独立于其合伙人的法人资格。有限责任合伙企业承担独立法人责任。</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有限责任合伙企业的合伙人对于有限责任合伙企业的任何其他合伙人的不法行为或不作为不承担个人责任，但个人对其自身的不法行为或不作为承担侵权责任。如果有限责任合伙企业的合伙人在开展有限责任合伙企业的业务过程中，或开展合伙企业授权活动中，因其自身的不法行为或不作为对他人承担责任，则有限责任合伙企业将承担与合伙人相同程度的责任。</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有限合伙企业必须根据新加坡第163A号法案《有限责任合伙企业法》和《有限责任合伙企业条例》中规定的程序向有限责任合伙企业注册局进行注册。注册可以通过</w:t>
            </w:r>
            <w:proofErr w:type="spellStart"/>
            <w:r w:rsidRPr="004853F4">
              <w:rPr>
                <w:rFonts w:ascii="KaiTi" w:eastAsia="KaiTi" w:hAnsi="KaiTi" w:hint="eastAsia"/>
                <w:spacing w:val="9"/>
                <w:sz w:val="24"/>
              </w:rPr>
              <w:t>BizFile</w:t>
            </w:r>
            <w:proofErr w:type="spellEnd"/>
            <w:r w:rsidRPr="004853F4">
              <w:rPr>
                <w:rFonts w:ascii="KaiTi" w:eastAsia="KaiTi" w:hAnsi="KaiTi" w:hint="eastAsia"/>
                <w:spacing w:val="9"/>
                <w:sz w:val="24"/>
              </w:rPr>
              <w:t>+系统在线进行。</w:t>
            </w:r>
          </w:p>
        </w:tc>
      </w:tr>
      <w:tr w:rsidR="004853F4" w:rsidRPr="004853F4" w:rsidTr="004C5832">
        <w:trPr>
          <w:trHeight w:val="452"/>
        </w:trPr>
        <w:tc>
          <w:tcPr>
            <w:tcW w:w="670" w:type="pct"/>
            <w:tcBorders>
              <w:top w:val="single" w:sz="12" w:space="0" w:color="FFFFFF" w:themeColor="background1"/>
              <w:bottom w:val="single" w:sz="12" w:space="0" w:color="DFCDA6"/>
              <w:right w:val="single" w:sz="4"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商业信托（BT）</w:t>
            </w:r>
          </w:p>
        </w:tc>
        <w:tc>
          <w:tcPr>
            <w:tcW w:w="4330" w:type="pct"/>
            <w:tcBorders>
              <w:left w:val="single" w:sz="4" w:space="0" w:color="FFFFFF" w:themeColor="background1"/>
            </w:tcBorders>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商业信托是以信托结构形式设立的企业。商业信托不是法律实体，而是基于信托契约建立的。根据该信托契约，信托管理人对企业的资产享有法定所有权，并为了信托受益人的利益而管理资产及开展业务。商业信托的投资者通过购买商业信托份额对商业信托的资产进行入股。商业信托的份额持有人是信托的受益人，对商业信托的资产享有受益权。</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根据新加坡《商业信托法》的规定、商业信托的注册不是强制性规定，但只有注册的商业信托或由新加坡金融管理局认可的外国商业信托才可以向公众公开发售其份额。</w:t>
            </w:r>
          </w:p>
          <w:p w:rsidR="0036365A" w:rsidRPr="004853F4" w:rsidRDefault="0036365A" w:rsidP="0036365A">
            <w:pPr>
              <w:widowControl/>
              <w:numPr>
                <w:ilvl w:val="0"/>
                <w:numId w:val="6"/>
              </w:numPr>
              <w:tabs>
                <w:tab w:val="left" w:pos="270"/>
              </w:tabs>
              <w:spacing w:line="0" w:lineRule="atLeast"/>
              <w:ind w:left="270" w:rightChars="21" w:right="44" w:hanging="270"/>
              <w:rPr>
                <w:rFonts w:ascii="KaiTi" w:eastAsia="KaiTi" w:hAnsi="KaiTi"/>
                <w:spacing w:val="9"/>
                <w:sz w:val="24"/>
              </w:rPr>
            </w:pPr>
            <w:r w:rsidRPr="004853F4">
              <w:rPr>
                <w:rFonts w:ascii="KaiTi" w:eastAsia="KaiTi" w:hAnsi="KaiTi" w:hint="eastAsia"/>
                <w:spacing w:val="9"/>
                <w:sz w:val="24"/>
              </w:rPr>
              <w:t>新加坡金融管理局管理商业信托的注册。《商业信托法》和《商业信托条例》规定了注册程序。</w:t>
            </w:r>
          </w:p>
        </w:tc>
      </w:tr>
    </w:tbl>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5" w:name="_Toc228187423"/>
      <w:bookmarkEnd w:id="4"/>
      <w:r w:rsidRPr="00A02EA3">
        <w:rPr>
          <w:rFonts w:ascii="楷体" w:eastAsia="楷体" w:hAnsi="楷体" w:cs="楷体"/>
          <w:b/>
          <w:sz w:val="28"/>
          <w:szCs w:val="28"/>
          <w:u w:color="000000"/>
          <w:bdr w:val="nil"/>
        </w:rPr>
        <w:t>行业限制（证照）</w:t>
      </w:r>
      <w:bookmarkEnd w:id="5"/>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新加坡部分代表性行业开展业务所需</w:t>
      </w:r>
      <w:r w:rsidRPr="004853F4">
        <w:rPr>
          <w:rFonts w:ascii="KaiTi" w:eastAsia="KaiTi" w:hAnsi="KaiTi"/>
          <w:sz w:val="24"/>
        </w:rPr>
        <w:t>资质证照和许可证类型如下：</w:t>
      </w:r>
    </w:p>
    <w:tbl>
      <w:tblPr>
        <w:tblW w:w="5000" w:type="pct"/>
        <w:tblBorders>
          <w:top w:val="single" w:sz="12" w:space="0" w:color="E4CA9C"/>
          <w:left w:val="single" w:sz="12" w:space="0" w:color="E4CA9C"/>
          <w:bottom w:val="single" w:sz="12" w:space="0" w:color="E4CA9C"/>
          <w:right w:val="single" w:sz="12" w:space="0" w:color="E4CA9C"/>
          <w:insideH w:val="single" w:sz="12" w:space="0" w:color="E4CA9C"/>
          <w:insideV w:val="single" w:sz="12" w:space="0" w:color="E4CA9C"/>
        </w:tblBorders>
        <w:tblCellMar>
          <w:left w:w="0" w:type="dxa"/>
          <w:right w:w="0" w:type="dxa"/>
        </w:tblCellMar>
        <w:tblLook w:val="04A0" w:firstRow="1" w:lastRow="0" w:firstColumn="1" w:lastColumn="0" w:noHBand="0" w:noVBand="1"/>
      </w:tblPr>
      <w:tblGrid>
        <w:gridCol w:w="1099"/>
        <w:gridCol w:w="7177"/>
      </w:tblGrid>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bookmarkStart w:id="6" w:name="_Hlk180051446"/>
            <w:r w:rsidRPr="004853F4">
              <w:rPr>
                <w:rFonts w:ascii="KaiTi" w:eastAsia="KaiTi" w:hAnsi="KaiTi" w:hint="eastAsia"/>
                <w:b/>
                <w:spacing w:val="9"/>
              </w:rPr>
              <w:t>企业</w:t>
            </w:r>
            <w:r w:rsidRPr="004853F4">
              <w:rPr>
                <w:rFonts w:ascii="KaiTi" w:eastAsia="KaiTi" w:hAnsi="KaiTi"/>
                <w:b/>
                <w:spacing w:val="9"/>
              </w:rPr>
              <w:t>注册</w:t>
            </w:r>
            <w:r w:rsidRPr="004853F4">
              <w:rPr>
                <w:rFonts w:ascii="KaiTi" w:eastAsia="KaiTi" w:hAnsi="KaiTi" w:hint="eastAsia"/>
                <w:b/>
                <w:spacing w:val="9"/>
              </w:rPr>
              <w:t>登记</w:t>
            </w:r>
          </w:p>
        </w:tc>
      </w:tr>
      <w:tr w:rsidR="004853F4" w:rsidRPr="004853F4" w:rsidTr="004C5832">
        <w:trPr>
          <w:trHeight w:val="452"/>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企业</w:t>
            </w:r>
            <w:r w:rsidRPr="004853F4">
              <w:rPr>
                <w:rFonts w:ascii="KaiTi" w:eastAsia="KaiTi" w:hAnsi="KaiTi"/>
                <w:spacing w:val="9"/>
                <w:sz w:val="24"/>
              </w:rPr>
              <w:t>在</w:t>
            </w:r>
            <w:r w:rsidRPr="004853F4">
              <w:rPr>
                <w:rFonts w:ascii="KaiTi" w:eastAsia="KaiTi" w:hAnsi="KaiTi" w:hint="eastAsia"/>
                <w:spacing w:val="9"/>
                <w:sz w:val="24"/>
              </w:rPr>
              <w:t>新加坡</w:t>
            </w:r>
            <w:r w:rsidRPr="004853F4">
              <w:rPr>
                <w:rFonts w:ascii="KaiTi" w:eastAsia="KaiTi" w:hAnsi="KaiTi"/>
                <w:spacing w:val="9"/>
                <w:sz w:val="24"/>
              </w:rPr>
              <w:t>合法成立并登记注册的官方文件</w:t>
            </w:r>
          </w:p>
        </w:tc>
      </w:tr>
      <w:tr w:rsidR="004853F4" w:rsidRPr="004853F4" w:rsidTr="004C5832">
        <w:trPr>
          <w:trHeight w:val="452"/>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lastRenderedPageBreak/>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会计与企业管理局（ACRA）（公司、商业机构、有限责任合伙注册）、新加坡国际企业发展局（制造业、贸易、贸易物流及与贸易有关的服务业注册）及新加坡金融管理局（银行业、金融业和保险业注册）</w:t>
            </w:r>
          </w:p>
        </w:tc>
      </w:tr>
      <w:tr w:rsidR="004853F4" w:rsidRPr="004853F4" w:rsidTr="004C5832">
        <w:trPr>
          <w:trHeight w:val="452"/>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spacing w:val="9"/>
                <w:sz w:val="24"/>
              </w:rPr>
              <w:t>所有在</w:t>
            </w:r>
            <w:r w:rsidRPr="004853F4">
              <w:rPr>
                <w:rFonts w:ascii="KaiTi" w:eastAsia="KaiTi" w:hAnsi="KaiTi" w:hint="eastAsia"/>
                <w:spacing w:val="9"/>
                <w:sz w:val="24"/>
              </w:rPr>
              <w:t>新加坡</w:t>
            </w:r>
            <w:r w:rsidRPr="004853F4">
              <w:rPr>
                <w:rFonts w:ascii="KaiTi" w:eastAsia="KaiTi" w:hAnsi="KaiTi"/>
                <w:spacing w:val="9"/>
                <w:sz w:val="24"/>
              </w:rPr>
              <w:t>注册成立的</w:t>
            </w:r>
            <w:r w:rsidRPr="004853F4">
              <w:rPr>
                <w:rFonts w:ascii="KaiTi" w:eastAsia="KaiTi" w:hAnsi="KaiTi" w:hint="eastAsia"/>
                <w:spacing w:val="9"/>
                <w:sz w:val="24"/>
              </w:rPr>
              <w:t>公司代表处或办事处、分公司、私人有限公司、股份有限公司和有限责任公司等</w:t>
            </w:r>
            <w:r w:rsidRPr="004853F4">
              <w:rPr>
                <w:rFonts w:ascii="KaiTi" w:eastAsia="KaiTi" w:hAnsi="KaiTi"/>
                <w:spacing w:val="9"/>
                <w:sz w:val="24"/>
              </w:rPr>
              <w:t>，注册后获得正式营业资格</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资本市场服务执照（CMS）</w:t>
            </w:r>
          </w:p>
        </w:tc>
      </w:tr>
      <w:tr w:rsidR="004853F4" w:rsidRPr="004853F4" w:rsidTr="004C5832">
        <w:trPr>
          <w:trHeight w:val="282"/>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开展受管制业务活动（如经营资本市场产品、提供企业融资咨询、基金管理、房地产投资信托管理、产品融资、提供信用评级服务、提供证券托管服务）的外国公司必须获得资本市场服务执照（CMS）</w:t>
            </w:r>
          </w:p>
        </w:tc>
      </w:tr>
      <w:tr w:rsidR="004853F4" w:rsidRPr="004853F4" w:rsidTr="004C5832">
        <w:trPr>
          <w:trHeight w:val="282"/>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新加坡金融管理局</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资本市场产品包括：证券、集体投资计划（CIS）的单位、场外交易（OTC）衍生品、交易所交易衍生品和用于杠杆外汇交易的即期外汇</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建筑商许可（BLS）</w:t>
            </w:r>
          </w:p>
        </w:tc>
      </w:tr>
      <w:tr w:rsidR="004853F4" w:rsidRPr="004853F4" w:rsidTr="004C5832">
        <w:trPr>
          <w:trHeight w:val="282"/>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在新加坡承包工程需获得建设</w:t>
            </w:r>
            <w:proofErr w:type="gramStart"/>
            <w:r w:rsidRPr="004853F4">
              <w:rPr>
                <w:rFonts w:ascii="KaiTi" w:eastAsia="KaiTi" w:hAnsi="KaiTi" w:hint="eastAsia"/>
                <w:spacing w:val="9"/>
                <w:sz w:val="24"/>
              </w:rPr>
              <w:t>局建筑</w:t>
            </w:r>
            <w:proofErr w:type="gramEnd"/>
            <w:r w:rsidRPr="004853F4">
              <w:rPr>
                <w:rFonts w:ascii="KaiTi" w:eastAsia="KaiTi" w:hAnsi="KaiTi" w:hint="eastAsia"/>
                <w:spacing w:val="9"/>
                <w:sz w:val="24"/>
              </w:rPr>
              <w:t>商许可（BLS），许可分为普通建筑商和专门建筑商两类</w:t>
            </w:r>
          </w:p>
        </w:tc>
      </w:tr>
      <w:tr w:rsidR="004853F4" w:rsidRPr="004853F4" w:rsidTr="004C5832">
        <w:trPr>
          <w:trHeight w:val="282"/>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新加坡建设局（BCA）</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普通建筑商许可分两个等级。第二级普通建筑商不能承包合约金额高于600万新元</w:t>
            </w:r>
          </w:p>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的工程。第一级普通建筑商则不受此限制。专门建筑商许可分为六类：打桩工程、地面稳定工程、工地勘测工程、钢架工程、预制混凝土工程和后</w:t>
            </w:r>
            <w:proofErr w:type="gramStart"/>
            <w:r w:rsidRPr="004853F4">
              <w:rPr>
                <w:rFonts w:ascii="KaiTi" w:eastAsia="KaiTi" w:hAnsi="KaiTi" w:hint="eastAsia"/>
                <w:spacing w:val="9"/>
                <w:sz w:val="24"/>
              </w:rPr>
              <w:t>张工程</w:t>
            </w:r>
            <w:proofErr w:type="gramEnd"/>
          </w:p>
        </w:tc>
      </w:tr>
      <w:bookmarkEnd w:id="6"/>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广播执照</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在或向新加坡提供任何受许可的广播服务所需</w:t>
            </w:r>
            <w:r w:rsidRPr="004853F4">
              <w:rPr>
                <w:rFonts w:ascii="KaiTi" w:eastAsia="KaiTi" w:hAnsi="KaiTi"/>
                <w:spacing w:val="9"/>
                <w:sz w:val="24"/>
              </w:rPr>
              <w:t>许可证</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新加坡媒体发展管理局</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在新加坡开展或向新加坡提供广播服务</w:t>
            </w:r>
            <w:r w:rsidRPr="004853F4">
              <w:rPr>
                <w:rFonts w:ascii="KaiTi" w:eastAsia="KaiTi" w:hAnsi="KaiTi"/>
                <w:spacing w:val="9"/>
                <w:sz w:val="24"/>
              </w:rPr>
              <w:t>业务</w:t>
            </w:r>
            <w:r w:rsidRPr="004853F4">
              <w:rPr>
                <w:rFonts w:ascii="KaiTi" w:eastAsia="KaiTi" w:hAnsi="KaiTi" w:hint="eastAsia"/>
                <w:spacing w:val="9"/>
                <w:sz w:val="24"/>
              </w:rPr>
              <w:t>（注：除非</w:t>
            </w:r>
            <w:proofErr w:type="gramStart"/>
            <w:r w:rsidRPr="004853F4">
              <w:rPr>
                <w:rFonts w:ascii="KaiTi" w:eastAsia="KaiTi" w:hAnsi="KaiTi" w:hint="eastAsia"/>
                <w:spacing w:val="9"/>
                <w:sz w:val="24"/>
              </w:rPr>
              <w:t>媒体局</w:t>
            </w:r>
            <w:proofErr w:type="gramEnd"/>
            <w:r w:rsidRPr="004853F4">
              <w:rPr>
                <w:rFonts w:ascii="KaiTi" w:eastAsia="KaiTi" w:hAnsi="KaiTi" w:hint="eastAsia"/>
                <w:spacing w:val="9"/>
                <w:sz w:val="24"/>
              </w:rPr>
              <w:t>另行批准，如果公司中任何外方持有或控制不少于公司或其控股公司49%的股权或表决权；或对公司或其控股公司进项督导、控制或管理的所有或多数人由任何外方任命或习惯于按照任何外方的指示行事）</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进出口和转运准证</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在新加坡开展进出口或转运业务必须在贸易交换网上获得相关业务准证（查询网址：www.tradexchange.gov.sg）</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新加坡关税局</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在贸易交换网（</w:t>
            </w:r>
            <w:proofErr w:type="spellStart"/>
            <w:r w:rsidRPr="004853F4">
              <w:rPr>
                <w:rFonts w:ascii="KaiTi" w:eastAsia="KaiTi" w:hAnsi="KaiTi" w:hint="eastAsia"/>
                <w:spacing w:val="9"/>
                <w:sz w:val="24"/>
              </w:rPr>
              <w:t>TradeXchange</w:t>
            </w:r>
            <w:proofErr w:type="spellEnd"/>
            <w:r w:rsidRPr="004853F4">
              <w:rPr>
                <w:rFonts w:ascii="KaiTi" w:eastAsia="KaiTi" w:hAnsi="KaiTi" w:hint="eastAsia"/>
                <w:spacing w:val="9"/>
                <w:sz w:val="24"/>
              </w:rPr>
              <w:t>）开展进出口和转运业务，贸易交换网系统是新加坡全国范围内的贸易电子信息交换系统，能让公共和私营部门在此平台上交换电子贸易数据和信息</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lastRenderedPageBreak/>
              <w:t>新加坡进口证书和交货确认书</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货物进口到新加坡前，进口商需通过贸易交换网向新加坡关税局提交准证申请。如符合有关规定，新加坡关税局将向进口商签发新加坡进口证书和交货确认书</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新加坡关税局</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新加坡关税局将向进口商签发新加坡进口证书和交货确认书以保证货物真正进口到新加坡，没有被转移或出口到被禁止的目的地；如果进口货物是受管制的货物，必须向相关主管部门提交准证申请并获得批准</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货物出口准证申请</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自由贸易区间进行货物转运或自由贸易区间转运受限制的货物，须事先通过贸易交换网取得有效的转运准证</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贸易交换网</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所有从一个自由贸易区转运至另一个自由贸易区的货物，或在同一个自由贸易区内转运受主管部门管制的货物，必须事先通过贸易交换网取得有效的转运准证才能将货物装载到运输工具上</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农产品和食品的进口执照</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农产品和食品的进口商在新加坡开展农产品及食品进口业务所需执照</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新加坡食品局（Singapore Food Agency，简称SFA）</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农产品和食品进口商须向SFA申请，获得进口执照后从事农产品和食品进口业务</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药品进口许可</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定义</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从事药品进口、批发、零售以及出口的经营者所需执照</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颁发机构</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新加坡卫生科学局（Health Science Authority，简称HSA）</w:t>
            </w:r>
          </w:p>
        </w:tc>
      </w:tr>
      <w:tr w:rsidR="004853F4" w:rsidRPr="004853F4" w:rsidTr="004C5832">
        <w:trPr>
          <w:trHeight w:val="310"/>
        </w:trPr>
        <w:tc>
          <w:tcPr>
            <w:tcW w:w="664"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适用范围</w:t>
            </w:r>
          </w:p>
        </w:tc>
        <w:tc>
          <w:tcPr>
            <w:tcW w:w="4336"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新加坡所有从事药品进口、批发、零售以及出口的经营者需向HSA取得相关许可方可开展业务。进口药品和化妆品前，需向HSA如实申报其成分、疗效等相关信息，获得批准后方可进口。HSA对进口相关产品进行抽检，一旦与申报不符，即取消其经营相关产品的资格</w:t>
            </w:r>
          </w:p>
        </w:tc>
      </w:tr>
    </w:tbl>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7" w:name="_Toc228187424"/>
      <w:r w:rsidRPr="00A02EA3">
        <w:rPr>
          <w:rFonts w:ascii="楷体" w:eastAsia="楷体" w:hAnsi="楷体" w:cs="楷体"/>
          <w:b/>
          <w:sz w:val="28"/>
          <w:szCs w:val="28"/>
          <w:u w:color="000000"/>
          <w:bdr w:val="nil"/>
        </w:rPr>
        <w:t>知识产权</w:t>
      </w:r>
      <w:bookmarkEnd w:id="7"/>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sz w:val="24"/>
        </w:rPr>
        <w:t>新加坡国内受到保护的知识产权有专利、商标、注册外观设计、版权（著作权）、集成电路设计、地理标识、商业秘密和机密信息以及植物品种。新加坡分别制定了单项法规，对这些知识产权进行保护。</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新加坡知识产权办公室（IPOS）是新加坡法律部的法定委员会，根据新加坡第140号法案《知识产权办公室法》成立。</w:t>
      </w:r>
      <w:r w:rsidRPr="004853F4">
        <w:rPr>
          <w:rFonts w:ascii="KaiTi" w:eastAsia="KaiTi" w:hAnsi="KaiTi"/>
          <w:sz w:val="24"/>
        </w:rPr>
        <w:t>同时，</w:t>
      </w:r>
      <w:r w:rsidRPr="004853F4">
        <w:rPr>
          <w:rFonts w:ascii="KaiTi" w:eastAsia="KaiTi" w:hAnsi="KaiTi" w:hint="eastAsia"/>
          <w:sz w:val="24"/>
        </w:rPr>
        <w:t>新加坡是众多与知识产权有关的公约和国际组织的成员，包括《巴黎公约》（Paris Convention）、《伯尔尼公</w:t>
      </w:r>
      <w:r w:rsidRPr="004853F4">
        <w:rPr>
          <w:rFonts w:ascii="KaiTi" w:eastAsia="KaiTi" w:hAnsi="KaiTi" w:hint="eastAsia"/>
          <w:sz w:val="24"/>
        </w:rPr>
        <w:lastRenderedPageBreak/>
        <w:t>约》（Berne Convention）、《马德里协议》（Madrid Protocol）、《专利合作条约》（Patent Cooperation Treaty）、《布达佩斯条约》（Budapest Treaty）、《与贸易有关的知识产权协议》（Agreement on Trade-related aspects of IP right）和世界知识产权组织（World Intellectual Property Organization）等</w:t>
      </w:r>
      <w:r w:rsidRPr="004853F4">
        <w:rPr>
          <w:rFonts w:ascii="KaiTi" w:eastAsia="KaiTi" w:hAnsi="KaiTi"/>
          <w:sz w:val="24"/>
        </w:rPr>
        <w:t>。</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新加坡对知识产权的保护期与我国略有不同：</w:t>
      </w:r>
    </w:p>
    <w:p w:rsidR="0036365A" w:rsidRPr="004853F4" w:rsidRDefault="0036365A" w:rsidP="0036365A">
      <w:pPr>
        <w:pStyle w:val="a4"/>
        <w:numPr>
          <w:ilvl w:val="0"/>
          <w:numId w:val="8"/>
        </w:numPr>
        <w:spacing w:line="0" w:lineRule="atLeast"/>
        <w:ind w:firstLineChars="0"/>
        <w:jc w:val="both"/>
        <w:rPr>
          <w:rFonts w:ascii="KaiTi" w:eastAsia="KaiTi" w:hAnsi="KaiTi"/>
        </w:rPr>
      </w:pPr>
      <w:r w:rsidRPr="004853F4">
        <w:rPr>
          <w:rFonts w:ascii="KaiTi" w:eastAsia="KaiTi" w:hAnsi="KaiTi" w:hint="eastAsia"/>
        </w:rPr>
        <w:t>专利权：新加坡的专利权有效期是自申请之日起20年，未区分专利的不同类型，但须申请之日后第4年起每年付费延期。中国目前按照专利的不同类型区分保护期限，其中发明专利为20年，实用</w:t>
      </w:r>
      <w:proofErr w:type="gramStart"/>
      <w:r w:rsidRPr="004853F4">
        <w:rPr>
          <w:rFonts w:ascii="KaiTi" w:eastAsia="KaiTi" w:hAnsi="KaiTi" w:hint="eastAsia"/>
        </w:rPr>
        <w:t>新型为</w:t>
      </w:r>
      <w:proofErr w:type="gramEnd"/>
      <w:r w:rsidRPr="004853F4">
        <w:rPr>
          <w:rFonts w:ascii="KaiTi" w:eastAsia="KaiTi" w:hAnsi="KaiTi" w:hint="eastAsia"/>
        </w:rPr>
        <w:t>15年，外观设计为10年。</w:t>
      </w:r>
    </w:p>
    <w:p w:rsidR="0036365A" w:rsidRPr="004853F4" w:rsidRDefault="0036365A" w:rsidP="0036365A">
      <w:pPr>
        <w:pStyle w:val="a4"/>
        <w:numPr>
          <w:ilvl w:val="0"/>
          <w:numId w:val="8"/>
        </w:numPr>
        <w:spacing w:line="0" w:lineRule="atLeast"/>
        <w:ind w:firstLineChars="0"/>
        <w:jc w:val="both"/>
        <w:rPr>
          <w:rFonts w:ascii="KaiTi" w:eastAsia="KaiTi" w:hAnsi="KaiTi"/>
        </w:rPr>
      </w:pPr>
      <w:r w:rsidRPr="004853F4">
        <w:rPr>
          <w:rFonts w:ascii="KaiTi" w:eastAsia="KaiTi" w:hAnsi="KaiTi" w:hint="eastAsia"/>
        </w:rPr>
        <w:t>商标权：新加坡对商标的保护期为长期有效，但须每10年更新一次。中国对商标的保护期为10年，到期可以续展。</w:t>
      </w:r>
    </w:p>
    <w:p w:rsidR="0036365A" w:rsidRPr="004853F4" w:rsidRDefault="0036365A" w:rsidP="0036365A">
      <w:pPr>
        <w:pStyle w:val="a4"/>
        <w:numPr>
          <w:ilvl w:val="0"/>
          <w:numId w:val="8"/>
        </w:numPr>
        <w:spacing w:line="0" w:lineRule="atLeast"/>
        <w:ind w:firstLineChars="0"/>
        <w:jc w:val="both"/>
        <w:rPr>
          <w:rFonts w:ascii="KaiTi" w:eastAsia="KaiTi" w:hAnsi="KaiTi"/>
        </w:rPr>
      </w:pPr>
      <w:r w:rsidRPr="004853F4">
        <w:rPr>
          <w:rFonts w:ascii="KaiTi" w:eastAsia="KaiTi" w:hAnsi="KaiTi" w:hint="eastAsia"/>
        </w:rPr>
        <w:t>著作权：版权期限根据受保护对象不同而有所区别，如文学、戏剧、音乐及艺术作品版权期限为作者终生及其去世当年年底以后70年；出版的文学、戏剧、音乐及艺术作品，该版本的版权期限为出版日至出版年年</w:t>
      </w:r>
      <w:proofErr w:type="gramStart"/>
      <w:r w:rsidRPr="004853F4">
        <w:rPr>
          <w:rFonts w:ascii="KaiTi" w:eastAsia="KaiTi" w:hAnsi="KaiTi" w:hint="eastAsia"/>
        </w:rPr>
        <w:t>底以后</w:t>
      </w:r>
      <w:proofErr w:type="gramEnd"/>
      <w:r w:rsidRPr="004853F4">
        <w:rPr>
          <w:rFonts w:ascii="KaiTi" w:eastAsia="KaiTi" w:hAnsi="KaiTi" w:hint="eastAsia"/>
        </w:rPr>
        <w:t>25年；录音及影视作品版权期限为作品出版日至出版年年</w:t>
      </w:r>
      <w:proofErr w:type="gramStart"/>
      <w:r w:rsidRPr="004853F4">
        <w:rPr>
          <w:rFonts w:ascii="KaiTi" w:eastAsia="KaiTi" w:hAnsi="KaiTi" w:hint="eastAsia"/>
        </w:rPr>
        <w:t>底以后</w:t>
      </w:r>
      <w:proofErr w:type="gramEnd"/>
      <w:r w:rsidRPr="004853F4">
        <w:rPr>
          <w:rFonts w:ascii="KaiTi" w:eastAsia="KaiTi" w:hAnsi="KaiTi" w:hint="eastAsia"/>
        </w:rPr>
        <w:t>70年；广播电视节目版权期限为作品</w:t>
      </w:r>
      <w:proofErr w:type="gramStart"/>
      <w:r w:rsidRPr="004853F4">
        <w:rPr>
          <w:rFonts w:ascii="KaiTi" w:eastAsia="KaiTi" w:hAnsi="KaiTi" w:hint="eastAsia"/>
        </w:rPr>
        <w:t>制作日至当年年底以后</w:t>
      </w:r>
      <w:proofErr w:type="gramEnd"/>
      <w:r w:rsidRPr="004853F4">
        <w:rPr>
          <w:rFonts w:ascii="KaiTi" w:eastAsia="KaiTi" w:hAnsi="KaiTi" w:hint="eastAsia"/>
        </w:rPr>
        <w:t>50年；表演的版权期限为演出日期至当年年</w:t>
      </w:r>
      <w:proofErr w:type="gramStart"/>
      <w:r w:rsidRPr="004853F4">
        <w:rPr>
          <w:rFonts w:ascii="KaiTi" w:eastAsia="KaiTi" w:hAnsi="KaiTi" w:hint="eastAsia"/>
        </w:rPr>
        <w:t>底以后</w:t>
      </w:r>
      <w:proofErr w:type="gramEnd"/>
      <w:r w:rsidRPr="004853F4">
        <w:rPr>
          <w:rFonts w:ascii="KaiTi" w:eastAsia="KaiTi" w:hAnsi="KaiTi" w:hint="eastAsia"/>
        </w:rPr>
        <w:t>70年。中国目前著作权保护期为50年。</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w:t>
      </w:r>
      <w:r w:rsidRPr="004853F4">
        <w:rPr>
          <w:rFonts w:ascii="KaiTi" w:eastAsia="KaiTi" w:hAnsi="KaiTi"/>
          <w:sz w:val="24"/>
        </w:rPr>
        <w:t>的知识产权保护制度</w:t>
      </w:r>
      <w:r w:rsidRPr="004853F4">
        <w:rPr>
          <w:rFonts w:ascii="KaiTi" w:eastAsia="KaiTi" w:hAnsi="KaiTi" w:hint="eastAsia"/>
          <w:sz w:val="24"/>
        </w:rPr>
        <w:t>主要包括</w:t>
      </w:r>
      <w:r w:rsidRPr="004853F4">
        <w:rPr>
          <w:rFonts w:ascii="KaiTi" w:eastAsia="KaiTi" w:hAnsi="KaiTi"/>
          <w:sz w:val="24"/>
        </w:rPr>
        <w:t>：</w:t>
      </w:r>
    </w:p>
    <w:tbl>
      <w:tblPr>
        <w:tblW w:w="5000" w:type="pct"/>
        <w:tblBorders>
          <w:top w:val="single" w:sz="12" w:space="0" w:color="E4CA9C"/>
          <w:left w:val="single" w:sz="12" w:space="0" w:color="E4CA9C"/>
          <w:bottom w:val="single" w:sz="12" w:space="0" w:color="E4CA9C"/>
          <w:right w:val="single" w:sz="12" w:space="0" w:color="E4CA9C"/>
          <w:insideH w:val="single" w:sz="12" w:space="0" w:color="E4CA9C"/>
          <w:insideV w:val="single" w:sz="12" w:space="0" w:color="E4CA9C"/>
        </w:tblBorders>
        <w:tblCellMar>
          <w:left w:w="0" w:type="dxa"/>
          <w:right w:w="0" w:type="dxa"/>
        </w:tblCellMar>
        <w:tblLook w:val="04A0" w:firstRow="1" w:lastRow="0" w:firstColumn="1" w:lastColumn="0" w:noHBand="0" w:noVBand="1"/>
      </w:tblPr>
      <w:tblGrid>
        <w:gridCol w:w="1073"/>
        <w:gridCol w:w="7203"/>
      </w:tblGrid>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bookmarkStart w:id="8" w:name="_Hlk180051710"/>
            <w:r w:rsidRPr="004853F4">
              <w:rPr>
                <w:rFonts w:ascii="KaiTi" w:eastAsia="KaiTi" w:hAnsi="KaiTi" w:hint="eastAsia"/>
                <w:b/>
                <w:spacing w:val="9"/>
              </w:rPr>
              <w:t>商标制度</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法律依据</w:t>
            </w:r>
          </w:p>
        </w:tc>
        <w:tc>
          <w:tcPr>
            <w:tcW w:w="4352"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《商标法》（Trade Marks Act）</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类型/对象</w:t>
            </w:r>
          </w:p>
        </w:tc>
        <w:tc>
          <w:tcPr>
            <w:tcW w:w="4352"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商标注册可以通过新加坡知识产权局的网站或到该局注册。知识产权局会对商标特性进行审查，整个注册过程通常需要8至10个月。商标注册以后长期有效，但须每10年更新一次。</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注册流程</w:t>
            </w:r>
          </w:p>
        </w:tc>
        <w:tc>
          <w:tcPr>
            <w:tcW w:w="4352" w:type="pct"/>
            <w:shd w:val="clear" w:color="auto" w:fill="auto"/>
            <w:tcMar>
              <w:top w:w="15" w:type="dxa"/>
              <w:left w:w="15" w:type="dxa"/>
              <w:bottom w:w="0" w:type="dxa"/>
              <w:right w:w="15" w:type="dxa"/>
            </w:tcMar>
            <w:vAlign w:val="center"/>
          </w:tcPr>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申请前准备</w:t>
            </w:r>
            <w:r w:rsidRPr="004853F4">
              <w:rPr>
                <w:rFonts w:ascii="KaiTi" w:eastAsia="KaiTi" w:hAnsi="KaiTi" w:hint="eastAsia"/>
                <w:spacing w:val="9"/>
              </w:rPr>
              <w:t>：申请注册商标前，应检查拟注册商标是否符合注册要求，即注册商标应满足：能够以图形（如文字、图形、图文组合）方式表示；需要具备显著的能够将申请人的商品或服务与其他第三方的商业标识区分开；不能与现有商标相同或混淆；在申请商标之前，可以在新加坡知识产权局（“IPOS”）</w:t>
            </w:r>
            <w:proofErr w:type="gramStart"/>
            <w:r w:rsidRPr="004853F4">
              <w:rPr>
                <w:rFonts w:ascii="KaiTi" w:eastAsia="KaiTi" w:hAnsi="KaiTi" w:hint="eastAsia"/>
                <w:spacing w:val="9"/>
              </w:rPr>
              <w:t>官网</w:t>
            </w:r>
            <w:proofErr w:type="gramEnd"/>
            <w:r w:rsidRPr="004853F4">
              <w:rPr>
                <w:rFonts w:ascii="KaiTi" w:eastAsia="KaiTi" w:hAnsi="KaiTi" w:hint="eastAsia"/>
                <w:spacing w:val="9"/>
              </w:rPr>
              <w:t>IPOS数字中心进行相似商标搜索，检查是否有现有类似的可能存在混淆的商标。</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提交申请</w:t>
            </w:r>
            <w:r w:rsidRPr="004853F4">
              <w:rPr>
                <w:rFonts w:ascii="KaiTi" w:eastAsia="KaiTi" w:hAnsi="KaiTi" w:hint="eastAsia"/>
                <w:spacing w:val="9"/>
              </w:rPr>
              <w:t>：商标注册可通过新加坡知识产权局网站（www.ipos.gov.sg）或直接到新加坡知识产权局注册。物品及服务基本上分为45个类别。</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spacing w:val="9"/>
              </w:rPr>
              <w:t>申请商标可通过新加坡知识产权局网站在线提交申请材料。</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商标审查</w:t>
            </w:r>
            <w:r w:rsidRPr="004853F4">
              <w:rPr>
                <w:rFonts w:ascii="KaiTi" w:eastAsia="KaiTi" w:hAnsi="KaiTi" w:hint="eastAsia"/>
                <w:spacing w:val="9"/>
              </w:rPr>
              <w:t>：新加坡知识产权局会对商标的“特征性”进行审查。如果新加坡知识产权局没有提出反对，该商标符合注册标准，且没有任何人提出异议，其注册过程通常需要8到10个月。</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公告与异议</w:t>
            </w:r>
            <w:r w:rsidRPr="004853F4">
              <w:rPr>
                <w:rFonts w:ascii="KaiTi" w:eastAsia="KaiTi" w:hAnsi="KaiTi" w:hint="eastAsia"/>
                <w:spacing w:val="9"/>
              </w:rPr>
              <w:t>：商标申请被接受，商标将在商标公报上公开发布两个月供公众查阅，任何第三方均有权对商标提出异议。</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lastRenderedPageBreak/>
              <w:t>注册与续展</w:t>
            </w:r>
            <w:r w:rsidRPr="004853F4">
              <w:rPr>
                <w:rFonts w:ascii="KaiTi" w:eastAsia="KaiTi" w:hAnsi="KaiTi" w:hint="eastAsia"/>
                <w:spacing w:val="9"/>
              </w:rPr>
              <w:t>：商标注册以后长期有效，但须每10年更新一次。</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bookmarkStart w:id="9" w:name="_Hlk180051733"/>
            <w:bookmarkEnd w:id="8"/>
            <w:r w:rsidRPr="004853F4">
              <w:rPr>
                <w:rFonts w:ascii="KaiTi" w:eastAsia="KaiTi" w:hAnsi="KaiTi" w:hint="eastAsia"/>
                <w:b/>
                <w:spacing w:val="9"/>
              </w:rPr>
              <w:lastRenderedPageBreak/>
              <w:t>专利制度</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法律依据</w:t>
            </w:r>
          </w:p>
        </w:tc>
        <w:tc>
          <w:tcPr>
            <w:tcW w:w="4352"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《专利法》（Patents Act）</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类型/对象</w:t>
            </w:r>
          </w:p>
        </w:tc>
        <w:tc>
          <w:tcPr>
            <w:tcW w:w="4352"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除具有攻击性、不道德以及反社会的行为，具备新颖性、创造性和工业应用性。</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注册流程</w:t>
            </w:r>
          </w:p>
        </w:tc>
        <w:tc>
          <w:tcPr>
            <w:tcW w:w="4352" w:type="pct"/>
            <w:shd w:val="clear" w:color="auto" w:fill="auto"/>
            <w:tcMar>
              <w:top w:w="15" w:type="dxa"/>
              <w:left w:w="15" w:type="dxa"/>
              <w:bottom w:w="0" w:type="dxa"/>
              <w:right w:w="15" w:type="dxa"/>
            </w:tcMar>
            <w:vAlign w:val="center"/>
          </w:tcPr>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提交申请</w:t>
            </w:r>
            <w:r w:rsidRPr="004853F4">
              <w:rPr>
                <w:rFonts w:ascii="KaiTi" w:eastAsia="KaiTi" w:hAnsi="KaiTi" w:hint="eastAsia"/>
                <w:spacing w:val="9"/>
              </w:rPr>
              <w:t>：申请人向新加坡知识产权局提交专利申请，申请中要包含专利的相关信息，包括发明以及操作说明和相关披露。</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实质审查</w:t>
            </w:r>
            <w:r w:rsidRPr="004853F4">
              <w:rPr>
                <w:rFonts w:ascii="KaiTi" w:eastAsia="KaiTi" w:hAnsi="KaiTi" w:hint="eastAsia"/>
                <w:spacing w:val="9"/>
              </w:rPr>
              <w:t>：专利的授权需要经过初步审查、检索及实质审查程序，在申请人递交申请后IPOS会进行初步审查。根据《专利法》规定，共有四种申请检索与实质审查的方式：分别进行检索及实审、同时进行检索和实审、仅进行</w:t>
            </w:r>
            <w:proofErr w:type="gramStart"/>
            <w:r w:rsidRPr="004853F4">
              <w:rPr>
                <w:rFonts w:ascii="KaiTi" w:eastAsia="KaiTi" w:hAnsi="KaiTi" w:hint="eastAsia"/>
                <w:spacing w:val="9"/>
              </w:rPr>
              <w:t>审查及仅进行</w:t>
            </w:r>
            <w:proofErr w:type="gramEnd"/>
            <w:r w:rsidRPr="004853F4">
              <w:rPr>
                <w:rFonts w:ascii="KaiTi" w:eastAsia="KaiTi" w:hAnsi="KaiTi" w:hint="eastAsia"/>
                <w:spacing w:val="9"/>
              </w:rPr>
              <w:t>补充审查。</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授权</w:t>
            </w:r>
            <w:r w:rsidRPr="004853F4">
              <w:rPr>
                <w:rFonts w:ascii="KaiTi" w:eastAsia="KaiTi" w:hAnsi="KaiTi" w:hint="eastAsia"/>
                <w:spacing w:val="9"/>
              </w:rPr>
              <w:t>：专利申请人应在收到专利申请可被授权的通知后2个月内，向IPOS申请取得专利证书</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有效期限</w:t>
            </w:r>
            <w:r w:rsidRPr="004853F4">
              <w:rPr>
                <w:rFonts w:ascii="KaiTi" w:eastAsia="KaiTi" w:hAnsi="KaiTi" w:hint="eastAsia"/>
                <w:spacing w:val="9"/>
              </w:rPr>
              <w:t>：在现行法律下，专利有效期是自申请之日起20年，该期限不得被延长</w:t>
            </w:r>
            <w:r w:rsidRPr="004853F4">
              <w:rPr>
                <w:rFonts w:ascii="KaiTi" w:eastAsia="KaiTi" w:hAnsi="KaiTi"/>
                <w:spacing w:val="9"/>
              </w:rPr>
              <w:t>。</w:t>
            </w:r>
          </w:p>
        </w:tc>
      </w:tr>
      <w:tr w:rsidR="004853F4" w:rsidRPr="004853F4" w:rsidTr="004C5832">
        <w:trPr>
          <w:trHeight w:val="321"/>
        </w:trPr>
        <w:tc>
          <w:tcPr>
            <w:tcW w:w="5000" w:type="pct"/>
            <w:gridSpan w:val="2"/>
            <w:shd w:val="clear" w:color="auto" w:fill="E4CA9C"/>
            <w:tcMar>
              <w:top w:w="15" w:type="dxa"/>
              <w:left w:w="15" w:type="dxa"/>
              <w:bottom w:w="0" w:type="dxa"/>
              <w:right w:w="15" w:type="dxa"/>
            </w:tcMar>
            <w:vAlign w:val="center"/>
          </w:tcPr>
          <w:p w:rsidR="0036365A" w:rsidRPr="004853F4" w:rsidRDefault="0036365A" w:rsidP="0036365A">
            <w:pPr>
              <w:pStyle w:val="a4"/>
              <w:numPr>
                <w:ilvl w:val="0"/>
                <w:numId w:val="7"/>
              </w:numPr>
              <w:spacing w:line="0" w:lineRule="atLeast"/>
              <w:ind w:left="961" w:firstLineChars="0" w:hanging="525"/>
              <w:rPr>
                <w:rFonts w:ascii="KaiTi" w:eastAsia="KaiTi" w:hAnsi="KaiTi"/>
                <w:b/>
                <w:spacing w:val="9"/>
              </w:rPr>
            </w:pPr>
            <w:r w:rsidRPr="004853F4">
              <w:rPr>
                <w:rFonts w:ascii="KaiTi" w:eastAsia="KaiTi" w:hAnsi="KaiTi" w:hint="eastAsia"/>
                <w:b/>
                <w:spacing w:val="9"/>
              </w:rPr>
              <w:t>版权制度</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法律依据</w:t>
            </w:r>
          </w:p>
        </w:tc>
        <w:tc>
          <w:tcPr>
            <w:tcW w:w="4352"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《版权法》（Copyright Act）</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类型/对象</w:t>
            </w:r>
          </w:p>
        </w:tc>
        <w:tc>
          <w:tcPr>
            <w:tcW w:w="4352" w:type="pct"/>
            <w:shd w:val="clear" w:color="auto" w:fill="auto"/>
            <w:tcMar>
              <w:top w:w="15" w:type="dxa"/>
              <w:left w:w="15" w:type="dxa"/>
              <w:bottom w:w="0" w:type="dxa"/>
              <w:right w:w="15" w:type="dxa"/>
            </w:tcMar>
            <w:vAlign w:val="center"/>
          </w:tcPr>
          <w:p w:rsidR="0036365A" w:rsidRPr="004853F4" w:rsidRDefault="0036365A" w:rsidP="0036365A">
            <w:pPr>
              <w:pStyle w:val="a4"/>
              <w:numPr>
                <w:ilvl w:val="0"/>
                <w:numId w:val="10"/>
              </w:numPr>
              <w:spacing w:line="0" w:lineRule="atLeast"/>
              <w:ind w:rightChars="50" w:right="105" w:firstLineChars="0"/>
              <w:jc w:val="both"/>
              <w:rPr>
                <w:rFonts w:ascii="KaiTi" w:eastAsia="KaiTi" w:hAnsi="KaiTi"/>
                <w:spacing w:val="9"/>
              </w:rPr>
            </w:pPr>
            <w:r w:rsidRPr="004853F4">
              <w:rPr>
                <w:rFonts w:ascii="KaiTi" w:eastAsia="KaiTi" w:hAnsi="KaiTi" w:hint="eastAsia"/>
                <w:spacing w:val="9"/>
              </w:rPr>
              <w:t>文学、戏剧、音乐及艺术：作品版权期限为作者终生及其去世当年年底以后70年；</w:t>
            </w:r>
          </w:p>
          <w:p w:rsidR="0036365A" w:rsidRPr="004853F4" w:rsidRDefault="0036365A" w:rsidP="0036365A">
            <w:pPr>
              <w:pStyle w:val="a4"/>
              <w:numPr>
                <w:ilvl w:val="0"/>
                <w:numId w:val="10"/>
              </w:numPr>
              <w:spacing w:line="0" w:lineRule="atLeast"/>
              <w:ind w:rightChars="50" w:right="105" w:firstLineChars="0"/>
              <w:jc w:val="both"/>
              <w:rPr>
                <w:rFonts w:ascii="KaiTi" w:eastAsia="KaiTi" w:hAnsi="KaiTi"/>
                <w:spacing w:val="9"/>
              </w:rPr>
            </w:pPr>
            <w:r w:rsidRPr="004853F4">
              <w:rPr>
                <w:rFonts w:ascii="KaiTi" w:eastAsia="KaiTi" w:hAnsi="KaiTi" w:hint="eastAsia"/>
                <w:spacing w:val="9"/>
              </w:rPr>
              <w:t>出版的文学、戏剧、音乐及艺术作品版本：版权期限为出版日至出版年年</w:t>
            </w:r>
            <w:proofErr w:type="gramStart"/>
            <w:r w:rsidRPr="004853F4">
              <w:rPr>
                <w:rFonts w:ascii="KaiTi" w:eastAsia="KaiTi" w:hAnsi="KaiTi" w:hint="eastAsia"/>
                <w:spacing w:val="9"/>
              </w:rPr>
              <w:t>底以后</w:t>
            </w:r>
            <w:proofErr w:type="gramEnd"/>
            <w:r w:rsidRPr="004853F4">
              <w:rPr>
                <w:rFonts w:ascii="KaiTi" w:eastAsia="KaiTi" w:hAnsi="KaiTi" w:hint="eastAsia"/>
                <w:spacing w:val="9"/>
              </w:rPr>
              <w:t>25年；</w:t>
            </w:r>
          </w:p>
          <w:p w:rsidR="0036365A" w:rsidRPr="004853F4" w:rsidRDefault="0036365A" w:rsidP="0036365A">
            <w:pPr>
              <w:pStyle w:val="a4"/>
              <w:numPr>
                <w:ilvl w:val="0"/>
                <w:numId w:val="10"/>
              </w:numPr>
              <w:spacing w:line="0" w:lineRule="atLeast"/>
              <w:ind w:rightChars="50" w:right="105" w:firstLineChars="0"/>
              <w:jc w:val="both"/>
              <w:rPr>
                <w:rFonts w:ascii="KaiTi" w:eastAsia="KaiTi" w:hAnsi="KaiTi"/>
                <w:spacing w:val="9"/>
              </w:rPr>
            </w:pPr>
            <w:r w:rsidRPr="004853F4">
              <w:rPr>
                <w:rFonts w:ascii="KaiTi" w:eastAsia="KaiTi" w:hAnsi="KaiTi" w:hint="eastAsia"/>
                <w:spacing w:val="9"/>
              </w:rPr>
              <w:t>录音及影视作品：版权期限为作品出版日至出版年年底后70年；</w:t>
            </w:r>
          </w:p>
          <w:p w:rsidR="0036365A" w:rsidRPr="004853F4" w:rsidRDefault="0036365A" w:rsidP="0036365A">
            <w:pPr>
              <w:pStyle w:val="a4"/>
              <w:numPr>
                <w:ilvl w:val="0"/>
                <w:numId w:val="10"/>
              </w:numPr>
              <w:spacing w:line="0" w:lineRule="atLeast"/>
              <w:ind w:rightChars="50" w:right="105" w:firstLineChars="0"/>
              <w:jc w:val="both"/>
              <w:rPr>
                <w:rFonts w:ascii="KaiTi" w:eastAsia="KaiTi" w:hAnsi="KaiTi"/>
                <w:spacing w:val="9"/>
              </w:rPr>
            </w:pPr>
            <w:r w:rsidRPr="004853F4">
              <w:rPr>
                <w:rFonts w:ascii="KaiTi" w:eastAsia="KaiTi" w:hAnsi="KaiTi" w:hint="eastAsia"/>
                <w:spacing w:val="9"/>
              </w:rPr>
              <w:t>广播电视节目：版权期限为作品</w:t>
            </w:r>
            <w:proofErr w:type="gramStart"/>
            <w:r w:rsidRPr="004853F4">
              <w:rPr>
                <w:rFonts w:ascii="KaiTi" w:eastAsia="KaiTi" w:hAnsi="KaiTi" w:hint="eastAsia"/>
                <w:spacing w:val="9"/>
              </w:rPr>
              <w:t>制作日至当</w:t>
            </w:r>
            <w:proofErr w:type="gramEnd"/>
            <w:r w:rsidRPr="004853F4">
              <w:rPr>
                <w:rFonts w:ascii="KaiTi" w:eastAsia="KaiTi" w:hAnsi="KaiTi" w:hint="eastAsia"/>
                <w:spacing w:val="9"/>
              </w:rPr>
              <w:t>年年底后50年；</w:t>
            </w:r>
          </w:p>
          <w:p w:rsidR="0036365A" w:rsidRPr="004853F4" w:rsidRDefault="0036365A" w:rsidP="0036365A">
            <w:pPr>
              <w:pStyle w:val="a4"/>
              <w:numPr>
                <w:ilvl w:val="0"/>
                <w:numId w:val="10"/>
              </w:numPr>
              <w:spacing w:line="0" w:lineRule="atLeast"/>
              <w:ind w:rightChars="50" w:right="105" w:firstLineChars="0"/>
              <w:jc w:val="both"/>
              <w:rPr>
                <w:rFonts w:ascii="KaiTi" w:eastAsia="KaiTi" w:hAnsi="KaiTi"/>
                <w:spacing w:val="9"/>
              </w:rPr>
            </w:pPr>
            <w:r w:rsidRPr="004853F4">
              <w:rPr>
                <w:rFonts w:ascii="KaiTi" w:eastAsia="KaiTi" w:hAnsi="KaiTi" w:hint="eastAsia"/>
                <w:spacing w:val="9"/>
              </w:rPr>
              <w:t>表演：版权期限为演出日期至当年年</w:t>
            </w:r>
            <w:proofErr w:type="gramStart"/>
            <w:r w:rsidRPr="004853F4">
              <w:rPr>
                <w:rFonts w:ascii="KaiTi" w:eastAsia="KaiTi" w:hAnsi="KaiTi" w:hint="eastAsia"/>
                <w:spacing w:val="9"/>
              </w:rPr>
              <w:t>底以后</w:t>
            </w:r>
            <w:proofErr w:type="gramEnd"/>
            <w:r w:rsidRPr="004853F4">
              <w:rPr>
                <w:rFonts w:ascii="KaiTi" w:eastAsia="KaiTi" w:hAnsi="KaiTi" w:hint="eastAsia"/>
                <w:spacing w:val="9"/>
              </w:rPr>
              <w:t>70年。</w:t>
            </w:r>
          </w:p>
        </w:tc>
      </w:tr>
      <w:tr w:rsidR="004853F4" w:rsidRPr="004853F4" w:rsidTr="004C5832">
        <w:trPr>
          <w:trHeight w:val="452"/>
        </w:trPr>
        <w:tc>
          <w:tcPr>
            <w:tcW w:w="648"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注册流程</w:t>
            </w:r>
          </w:p>
        </w:tc>
        <w:tc>
          <w:tcPr>
            <w:tcW w:w="4352" w:type="pct"/>
            <w:shd w:val="clear" w:color="auto" w:fill="auto"/>
            <w:tcMar>
              <w:top w:w="15" w:type="dxa"/>
              <w:left w:w="15" w:type="dxa"/>
              <w:bottom w:w="0" w:type="dxa"/>
              <w:right w:w="15" w:type="dxa"/>
            </w:tcMar>
            <w:vAlign w:val="center"/>
          </w:tcPr>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b/>
                <w:spacing w:val="9"/>
              </w:rPr>
            </w:pPr>
            <w:r w:rsidRPr="004853F4">
              <w:rPr>
                <w:rFonts w:ascii="KaiTi" w:eastAsia="KaiTi" w:hAnsi="KaiTi" w:hint="eastAsia"/>
                <w:b/>
                <w:spacing w:val="9"/>
              </w:rPr>
              <w:t>注册条件：</w:t>
            </w:r>
            <w:r w:rsidRPr="004853F4">
              <w:rPr>
                <w:rFonts w:ascii="KaiTi" w:eastAsia="KaiTi" w:hAnsi="KaiTi" w:hint="eastAsia"/>
                <w:bCs w:val="0"/>
                <w:spacing w:val="9"/>
              </w:rPr>
              <w:t>在新加坡取得版权要求作品的作者或创作人是新加坡公民或居民，该作品首次在新加坡出版。在新加坡以外的地方取得版权的作品可以在新加坡得到保护，前提为作品的作者或创作人是加入WTO或《伯尔尼公约》的成员国的国民或居民，该作品首次在WTO或《伯尔尼公约》的成员国出版。</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b/>
                <w:spacing w:val="9"/>
              </w:rPr>
            </w:pPr>
            <w:r w:rsidRPr="004853F4">
              <w:rPr>
                <w:rFonts w:ascii="KaiTi" w:eastAsia="KaiTi" w:hAnsi="KaiTi" w:hint="eastAsia"/>
                <w:b/>
                <w:spacing w:val="9"/>
              </w:rPr>
              <w:t>提出申请</w:t>
            </w:r>
            <w:r w:rsidRPr="004853F4">
              <w:rPr>
                <w:rFonts w:ascii="KaiTi" w:eastAsia="KaiTi" w:hAnsi="KaiTi" w:hint="eastAsia"/>
                <w:spacing w:val="9"/>
              </w:rPr>
              <w:t>：准备版权注册所需的材料，包括作品的详细描述、创作日期、作者信息等，通过IPOS提交申请</w:t>
            </w:r>
            <w:r w:rsidRPr="004853F4">
              <w:rPr>
                <w:rFonts w:ascii="KaiTi" w:eastAsia="KaiTi" w:hAnsi="KaiTi"/>
                <w:spacing w:val="9"/>
              </w:rPr>
              <w:t>。</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hint="eastAsia"/>
                <w:b/>
                <w:spacing w:val="9"/>
              </w:rPr>
              <w:t>注册审查</w:t>
            </w:r>
            <w:r w:rsidRPr="004853F4">
              <w:rPr>
                <w:rFonts w:ascii="KaiTi" w:eastAsia="KaiTi" w:hAnsi="KaiTi" w:hint="eastAsia"/>
                <w:spacing w:val="9"/>
              </w:rPr>
              <w:t>：IPOS对申请材料进行审查，审查版权的独创性和合法性</w:t>
            </w:r>
            <w:r w:rsidRPr="004853F4">
              <w:rPr>
                <w:rFonts w:ascii="KaiTi" w:eastAsia="KaiTi" w:hAnsi="KaiTi"/>
                <w:spacing w:val="9"/>
              </w:rPr>
              <w:t>。</w:t>
            </w:r>
          </w:p>
          <w:p w:rsidR="0036365A" w:rsidRPr="004853F4" w:rsidRDefault="0036365A" w:rsidP="0036365A">
            <w:pPr>
              <w:pStyle w:val="a4"/>
              <w:numPr>
                <w:ilvl w:val="0"/>
                <w:numId w:val="9"/>
              </w:numPr>
              <w:tabs>
                <w:tab w:val="left" w:pos="421"/>
              </w:tabs>
              <w:spacing w:line="0" w:lineRule="atLeast"/>
              <w:ind w:left="412" w:rightChars="50" w:right="105" w:firstLineChars="0" w:hanging="284"/>
              <w:jc w:val="both"/>
              <w:rPr>
                <w:rFonts w:ascii="KaiTi" w:eastAsia="KaiTi" w:hAnsi="KaiTi"/>
                <w:spacing w:val="9"/>
              </w:rPr>
            </w:pPr>
            <w:r w:rsidRPr="004853F4">
              <w:rPr>
                <w:rFonts w:ascii="KaiTi" w:eastAsia="KaiTi" w:hAnsi="KaiTi"/>
                <w:b/>
                <w:bCs w:val="0"/>
                <w:spacing w:val="9"/>
              </w:rPr>
              <w:t>颁发注册证明</w:t>
            </w:r>
            <w:r w:rsidRPr="004853F4">
              <w:rPr>
                <w:rFonts w:ascii="KaiTi" w:eastAsia="KaiTi" w:hAnsi="KaiTi" w:hint="eastAsia"/>
                <w:b/>
                <w:spacing w:val="9"/>
              </w:rPr>
              <w:t>：</w:t>
            </w:r>
            <w:r w:rsidRPr="004853F4">
              <w:rPr>
                <w:rFonts w:ascii="KaiTi" w:eastAsia="KaiTi" w:hAnsi="KaiTi"/>
                <w:spacing w:val="9"/>
              </w:rPr>
              <w:t>如果申请材料符合要求</w:t>
            </w:r>
            <w:r w:rsidRPr="004853F4">
              <w:rPr>
                <w:rFonts w:ascii="KaiTi" w:eastAsia="KaiTi" w:hAnsi="KaiTi" w:hint="eastAsia"/>
                <w:spacing w:val="9"/>
              </w:rPr>
              <w:t>且公告期没有异议，版权注册将被正式记录，申请人将获得版权注册证书。</w:t>
            </w:r>
          </w:p>
        </w:tc>
      </w:tr>
    </w:tbl>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10" w:name="_Toc228187425"/>
      <w:bookmarkEnd w:id="9"/>
      <w:r w:rsidRPr="00A02EA3">
        <w:rPr>
          <w:rFonts w:ascii="楷体" w:eastAsia="楷体" w:hAnsi="楷体" w:cs="楷体"/>
          <w:b/>
          <w:sz w:val="28"/>
          <w:szCs w:val="28"/>
          <w:u w:color="000000"/>
          <w:bdr w:val="nil"/>
        </w:rPr>
        <w:lastRenderedPageBreak/>
        <w:t>劳动用工</w:t>
      </w:r>
      <w:bookmarkEnd w:id="10"/>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新加坡主要通过《移民法案》（Immigration Act）、《雇佣法案》（Employment Act）、《外国人力雇佣法案》（Employment of Foreign Manpower Act）、《职业安全与健康法案》（Workplace Safety and Health Act）、《工伤赔偿法案》（Work Injury Compensation Act）、《雇佣代理法案》（Employment Agencies Act）等法律</w:t>
      </w:r>
      <w:proofErr w:type="gramStart"/>
      <w:r w:rsidRPr="004853F4">
        <w:rPr>
          <w:rFonts w:ascii="KaiTi" w:eastAsia="KaiTi" w:hAnsi="KaiTi" w:hint="eastAsia"/>
          <w:sz w:val="24"/>
        </w:rPr>
        <w:t>规范工</w:t>
      </w:r>
      <w:proofErr w:type="gramEnd"/>
      <w:r w:rsidRPr="004853F4">
        <w:rPr>
          <w:rFonts w:ascii="KaiTi" w:eastAsia="KaiTi" w:hAnsi="KaiTi" w:hint="eastAsia"/>
          <w:sz w:val="24"/>
        </w:rPr>
        <w:t>作准证、劳动关系、外国工人管理、工伤赔偿及职业安全与健康等方面的问题</w:t>
      </w:r>
      <w:r w:rsidRPr="004853F4">
        <w:rPr>
          <w:rFonts w:ascii="KaiTi" w:eastAsia="KaiTi" w:hAnsi="KaiTi"/>
          <w:sz w:val="24"/>
        </w:rPr>
        <w:t>。</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大部分中国企业出海之后在当地聘用新加坡当地员工外，也会聘用企业自有中国员工。与中国对新加坡开展劳务输出业务最为相关的法律是《外国工人雇佣法案》。该法案列明了雇用外国工人的条款和条件，规定了对雇主或工人违法行为的处罚，有利于维护新加坡特别针对外籍工人所建立的工作准</w:t>
      </w:r>
      <w:proofErr w:type="gramStart"/>
      <w:r w:rsidRPr="004853F4">
        <w:rPr>
          <w:rFonts w:ascii="KaiTi" w:eastAsia="KaiTi" w:hAnsi="KaiTi" w:hint="eastAsia"/>
          <w:sz w:val="24"/>
        </w:rPr>
        <w:t>证系统</w:t>
      </w:r>
      <w:proofErr w:type="gramEnd"/>
      <w:r w:rsidRPr="004853F4">
        <w:rPr>
          <w:rFonts w:ascii="KaiTi" w:eastAsia="KaiTi" w:hAnsi="KaiTi" w:hint="eastAsia"/>
          <w:sz w:val="24"/>
        </w:rPr>
        <w:t>并保护外籍工人的福利。2007年5月22日，法案更名为《外国人力雇佣法案》。新加坡外国人工作准证分为就业准证（Employment Pass，EP）、S准证（S Pass，SP）、劳务准证（Work Permit，WP）三类。外籍人士在新加坡必须持有工作准证才能工作，否则被视为非法务工。</w:t>
      </w:r>
    </w:p>
    <w:p w:rsidR="0036365A" w:rsidRPr="004853F4" w:rsidRDefault="0036365A" w:rsidP="0036365A">
      <w:pPr>
        <w:spacing w:line="0" w:lineRule="atLeast"/>
        <w:ind w:firstLineChars="200" w:firstLine="480"/>
        <w:rPr>
          <w:rFonts w:ascii="KaiTi" w:eastAsia="KaiTi" w:hAnsi="KaiTi"/>
          <w:sz w:val="24"/>
        </w:rPr>
      </w:pPr>
    </w:p>
    <w:p w:rsidR="0036365A" w:rsidRPr="004853F4" w:rsidRDefault="0036365A" w:rsidP="0036365A">
      <w:pPr>
        <w:spacing w:line="0" w:lineRule="atLeast"/>
        <w:rPr>
          <w:rFonts w:ascii="KaiTi" w:eastAsia="KaiTi" w:hAnsi="KaiTi"/>
          <w:sz w:val="24"/>
        </w:rPr>
      </w:pPr>
      <w:r w:rsidRPr="004853F4">
        <w:rPr>
          <w:rFonts w:ascii="KaiTi" w:eastAsia="KaiTi" w:hAnsi="KaiTi"/>
          <w:noProof/>
          <w:sz w:val="24"/>
        </w:rPr>
        <mc:AlternateContent>
          <mc:Choice Requires="wpg">
            <w:drawing>
              <wp:inline distT="0" distB="0" distL="114300" distR="114300" wp14:anchorId="76A5174E" wp14:editId="367BF429">
                <wp:extent cx="5253991" cy="4158533"/>
                <wp:effectExtent l="0" t="0" r="22860" b="13970"/>
                <wp:docPr id="10" name="组合 10"/>
                <wp:cNvGraphicFramePr/>
                <a:graphic xmlns:a="http://schemas.openxmlformats.org/drawingml/2006/main">
                  <a:graphicData uri="http://schemas.microsoft.com/office/word/2010/wordprocessingGroup">
                    <wpg:wgp>
                      <wpg:cNvGrpSpPr/>
                      <wpg:grpSpPr>
                        <a:xfrm>
                          <a:off x="0" y="0"/>
                          <a:ext cx="5253991" cy="4158533"/>
                          <a:chOff x="0" y="1"/>
                          <a:chExt cx="5254389" cy="1482978"/>
                        </a:xfrm>
                      </wpg:grpSpPr>
                      <wps:wsp>
                        <wps:cNvPr id="5" name="矩形 5"/>
                        <wps:cNvSpPr/>
                        <wps:spPr>
                          <a:xfrm>
                            <a:off x="0" y="13646"/>
                            <a:ext cx="1166884" cy="280921"/>
                          </a:xfrm>
                          <a:prstGeom prst="rect">
                            <a:avLst/>
                          </a:prstGeom>
                          <a:solidFill>
                            <a:srgbClr val="E4CA9C"/>
                          </a:solidFill>
                          <a:ln>
                            <a:solidFill>
                              <a:srgbClr val="E4CA9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5832" w:rsidRDefault="004C5832" w:rsidP="0036365A">
                              <w:pPr>
                                <w:jc w:val="center"/>
                                <w:rPr>
                                  <w:rFonts w:ascii="Microsoft YaHei UI" w:eastAsia="Microsoft YaHei UI" w:hAnsi="Microsoft YaHei UI"/>
                                  <w:b/>
                                  <w:color w:val="7C6755"/>
                                  <w:sz w:val="18"/>
                                  <w:szCs w:val="18"/>
                                </w:rPr>
                              </w:pPr>
                              <w:r>
                                <w:rPr>
                                  <w:rFonts w:ascii="Microsoft YaHei UI" w:eastAsia="Microsoft YaHei UI" w:hAnsi="Microsoft YaHei UI" w:hint="eastAsia"/>
                                  <w:b/>
                                  <w:color w:val="7C6755"/>
                                  <w:sz w:val="18"/>
                                  <w:szCs w:val="18"/>
                                </w:rPr>
                                <w:t>新加坡本地人</w:t>
                              </w:r>
                              <w:proofErr w:type="gramStart"/>
                              <w:r>
                                <w:rPr>
                                  <w:rFonts w:ascii="Microsoft YaHei UI" w:eastAsia="Microsoft YaHei UI" w:hAnsi="Microsoft YaHei UI" w:hint="eastAsia"/>
                                  <w:b/>
                                  <w:color w:val="7C6755"/>
                                  <w:sz w:val="18"/>
                                  <w:szCs w:val="18"/>
                                </w:rPr>
                                <w:t>员工作</w:t>
                              </w:r>
                              <w:proofErr w:type="gramEnd"/>
                              <w:r>
                                <w:rPr>
                                  <w:rFonts w:ascii="Microsoft YaHei UI" w:eastAsia="Microsoft YaHei UI" w:hAnsi="Microsoft YaHei UI" w:hint="eastAsia"/>
                                  <w:b/>
                                  <w:color w:val="7C6755"/>
                                  <w:sz w:val="18"/>
                                  <w:szCs w:val="18"/>
                                </w:rPr>
                                <w:t>规定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矩形 2"/>
                        <wps:cNvSpPr/>
                        <wps:spPr>
                          <a:xfrm>
                            <a:off x="1235169" y="1"/>
                            <a:ext cx="4019220" cy="1482978"/>
                          </a:xfrm>
                          <a:prstGeom prst="rect">
                            <a:avLst/>
                          </a:prstGeom>
                          <a:noFill/>
                          <a:ln>
                            <a:solidFill>
                              <a:srgbClr val="E4CA9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正常工作时间每天不超过</w:t>
                              </w:r>
                              <w:r w:rsidRPr="00082622">
                                <w:rPr>
                                  <w:rFonts w:ascii="Microsoft YaHei UI" w:eastAsia="Microsoft YaHei UI" w:hAnsi="Microsoft YaHei UI"/>
                                  <w:b/>
                                  <w:color w:val="7C6755"/>
                                  <w:sz w:val="18"/>
                                  <w:szCs w:val="18"/>
                                </w:rPr>
                                <w:t>8</w:t>
                              </w:r>
                              <w:r w:rsidRPr="00082622">
                                <w:rPr>
                                  <w:rFonts w:ascii="Microsoft YaHei UI" w:eastAsia="Microsoft YaHei UI" w:hAnsi="Microsoft YaHei UI"/>
                                  <w:b/>
                                  <w:color w:val="7C6755"/>
                                  <w:sz w:val="18"/>
                                  <w:szCs w:val="18"/>
                                </w:rPr>
                                <w:t>小时，每周不超过5天半（44小时）。若在劳动合同中约定，一周工作时间可以超过44小时，但不得超过48小时或每两周不超过88小时。工人在雇主的要求下在超过规定的时间以外工作，雇主应该支付工人至少正常工资的1.5倍（非劳力工人工资最高按2250新元计算）。雇员每月加班时间不得超过72小时。</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依据劳动合同确定工资，包括工人根据合同完成的超时工作奖金，不包括住宿、水电费、医疗及其他生活福利等。雇主应及时给付工人工资，每个工资周期的工资应该在该周期最后</w:t>
                              </w:r>
                              <w:proofErr w:type="gramStart"/>
                              <w:r w:rsidRPr="00082622">
                                <w:rPr>
                                  <w:rFonts w:ascii="Microsoft YaHei UI" w:eastAsia="Microsoft YaHei UI" w:hAnsi="Microsoft YaHei UI" w:hint="eastAsia"/>
                                  <w:b/>
                                  <w:color w:val="7C6755"/>
                                  <w:sz w:val="18"/>
                                  <w:szCs w:val="18"/>
                                </w:rPr>
                                <w:t>一</w:t>
                              </w:r>
                              <w:proofErr w:type="gramEnd"/>
                              <w:r w:rsidRPr="00082622">
                                <w:rPr>
                                  <w:rFonts w:ascii="Microsoft YaHei UI" w:eastAsia="Microsoft YaHei UI" w:hAnsi="Microsoft YaHei UI" w:hint="eastAsia"/>
                                  <w:b/>
                                  <w:color w:val="7C6755"/>
                                  <w:sz w:val="18"/>
                                  <w:szCs w:val="18"/>
                                </w:rPr>
                                <w:t>日后</w:t>
                              </w:r>
                              <w:r w:rsidRPr="00082622">
                                <w:rPr>
                                  <w:rFonts w:ascii="Microsoft YaHei UI" w:eastAsia="Microsoft YaHei UI" w:hAnsi="Microsoft YaHei UI"/>
                                  <w:b/>
                                  <w:color w:val="7C6755"/>
                                  <w:sz w:val="18"/>
                                  <w:szCs w:val="18"/>
                                </w:rPr>
                                <w:t>7日内支付，每一工资周期的加班费应该在有加班的工资周期最后</w:t>
                              </w:r>
                              <w:proofErr w:type="gramStart"/>
                              <w:r w:rsidRPr="00082622">
                                <w:rPr>
                                  <w:rFonts w:ascii="Microsoft YaHei UI" w:eastAsia="Microsoft YaHei UI" w:hAnsi="Microsoft YaHei UI" w:hint="eastAsia"/>
                                  <w:b/>
                                  <w:color w:val="7C6755"/>
                                  <w:sz w:val="18"/>
                                  <w:szCs w:val="18"/>
                                </w:rPr>
                                <w:t>一</w:t>
                              </w:r>
                              <w:proofErr w:type="gramEnd"/>
                              <w:r w:rsidRPr="00082622">
                                <w:rPr>
                                  <w:rFonts w:ascii="Microsoft YaHei UI" w:eastAsia="Microsoft YaHei UI" w:hAnsi="Microsoft YaHei UI" w:hint="eastAsia"/>
                                  <w:b/>
                                  <w:color w:val="7C6755"/>
                                  <w:sz w:val="18"/>
                                  <w:szCs w:val="18"/>
                                </w:rPr>
                                <w:t>日后</w:t>
                              </w:r>
                              <w:r w:rsidRPr="00082622">
                                <w:rPr>
                                  <w:rFonts w:ascii="Microsoft YaHei UI" w:eastAsia="Microsoft YaHei UI" w:hAnsi="Microsoft YaHei UI"/>
                                  <w:b/>
                                  <w:color w:val="7C6755"/>
                                  <w:sz w:val="18"/>
                                  <w:szCs w:val="18"/>
                                </w:rPr>
                                <w:t>14日内支付。雇主支付工人工资时，可扣除工人未做工日薪、明确托付工人保管的物品的损坏和损失或工人所须负责的钱财损失、预支工资等，上述扣款一般不得超过</w:t>
                              </w:r>
                              <w:proofErr w:type="gramStart"/>
                              <w:r w:rsidRPr="00082622">
                                <w:rPr>
                                  <w:rFonts w:ascii="Microsoft YaHei UI" w:eastAsia="Microsoft YaHei UI" w:hAnsi="Microsoft YaHei UI" w:hint="eastAsia"/>
                                  <w:b/>
                                  <w:color w:val="7C6755"/>
                                  <w:sz w:val="18"/>
                                  <w:szCs w:val="18"/>
                                </w:rPr>
                                <w:t>该工资</w:t>
                              </w:r>
                              <w:proofErr w:type="gramEnd"/>
                              <w:r w:rsidRPr="00082622">
                                <w:rPr>
                                  <w:rFonts w:ascii="Microsoft YaHei UI" w:eastAsia="Microsoft YaHei UI" w:hAnsi="Microsoft YaHei UI" w:hint="eastAsia"/>
                                  <w:b/>
                                  <w:color w:val="7C6755"/>
                                  <w:sz w:val="18"/>
                                  <w:szCs w:val="18"/>
                                </w:rPr>
                                <w:t>周期工资的</w:t>
                              </w:r>
                              <w:r w:rsidRPr="00082622">
                                <w:rPr>
                                  <w:rFonts w:ascii="Microsoft YaHei UI" w:eastAsia="Microsoft YaHei UI" w:hAnsi="Microsoft YaHei UI"/>
                                  <w:b/>
                                  <w:color w:val="7C6755"/>
                                  <w:sz w:val="18"/>
                                  <w:szCs w:val="18"/>
                                </w:rPr>
                                <w:t>50%。</w:t>
                              </w:r>
                            </w:p>
                            <w:p w:rsidR="004C5832" w:rsidRDefault="004C5832" w:rsidP="0036365A">
                              <w:pPr>
                                <w:widowControl/>
                                <w:numPr>
                                  <w:ilvl w:val="0"/>
                                  <w:numId w:val="6"/>
                                </w:numPr>
                                <w:tabs>
                                  <w:tab w:val="left" w:pos="142"/>
                                </w:tabs>
                                <w:spacing w:line="0" w:lineRule="atLeast"/>
                                <w:rPr>
                                  <w:rFonts w:ascii="Microsoft YaHei UI" w:eastAsia="Microsoft YaHei UI" w:hAnsi="Microsoft YaHei UI"/>
                                  <w:color w:val="7C6755"/>
                                  <w:sz w:val="18"/>
                                  <w:szCs w:val="18"/>
                                </w:rPr>
                              </w:pPr>
                              <w:r w:rsidRPr="00082622">
                                <w:rPr>
                                  <w:rFonts w:ascii="Microsoft YaHei UI" w:eastAsia="Microsoft YaHei UI" w:hAnsi="Microsoft YaHei UI" w:hint="eastAsia"/>
                                  <w:b/>
                                  <w:color w:val="7C6755"/>
                                  <w:sz w:val="18"/>
                                  <w:szCs w:val="18"/>
                                </w:rPr>
                                <w:t>新加坡通过建立中央公积金（</w:t>
                              </w:r>
                              <w:r w:rsidRPr="00082622">
                                <w:rPr>
                                  <w:rFonts w:ascii="Microsoft YaHei UI" w:eastAsia="Microsoft YaHei UI" w:hAnsi="Microsoft YaHei UI"/>
                                  <w:b/>
                                  <w:color w:val="7C6755"/>
                                  <w:sz w:val="18"/>
                                  <w:szCs w:val="18"/>
                                </w:rPr>
                                <w:t>Central Provident Fund, CPF）来为雇员提供全面的社会福利保障。中央公积金制度始于1955年，由新加坡人力资源部下属的中央公积金局负责管理运行，新加坡雇主和雇员均有义务将收入的一部分缴存会员的公积金个人账户，雇主和雇员缴纳的比例根据雇员的年龄而定。目前，私营领域雇主的缴纳比例介于7.5%至17%，雇员缴纳比例介于5%至20%。个人账户分为三部分：普通账户，用于购房、投资、教育支出；保健账户，用于支付住院医疗费用和重症医疗保险；特别账户，用于养老和特殊情况下的紧急支付，一般在退休前不能动用。只有新加坡公民和新加坡永久居民才需缴纳公积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76A5174E" id="组合 10" o:spid="_x0000_s1028" style="width:413.7pt;height:327.45pt;mso-position-horizontal-relative:char;mso-position-vertical-relative:line" coordorigin="" coordsize="52543,1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">
                <v:rect id="矩形 5" o:spid="_x0000_s1029" style="position:absolute;top:136;width:11668;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" fillcolor="#e4ca9c" strokecolor="#e4ca9c" strokeweight="1pt">
                  <v:textbox>
                    <w:txbxContent>
                      <w:p w:rsidR="004C5832" w:rsidRDefault="004C5832" w:rsidP="0036365A">
                        <w:pPr>
                          <w:jc w:val="center"/>
                          <w:rPr>
                            <w:rFonts w:ascii="Microsoft YaHei UI" w:eastAsia="Microsoft YaHei UI" w:hAnsi="Microsoft YaHei UI"/>
                            <w:b/>
                            <w:color w:val="7C6755"/>
                            <w:sz w:val="18"/>
                            <w:szCs w:val="18"/>
                          </w:rPr>
                        </w:pPr>
                        <w:r>
                          <w:rPr>
                            <w:rFonts w:ascii="Microsoft YaHei UI" w:eastAsia="Microsoft YaHei UI" w:hAnsi="Microsoft YaHei UI" w:hint="eastAsia"/>
                            <w:b/>
                            <w:color w:val="7C6755"/>
                            <w:sz w:val="18"/>
                            <w:szCs w:val="18"/>
                          </w:rPr>
                          <w:t>新加坡本地人</w:t>
                        </w:r>
                        <w:proofErr w:type="gramStart"/>
                        <w:r>
                          <w:rPr>
                            <w:rFonts w:ascii="Microsoft YaHei UI" w:eastAsia="Microsoft YaHei UI" w:hAnsi="Microsoft YaHei UI" w:hint="eastAsia"/>
                            <w:b/>
                            <w:color w:val="7C6755"/>
                            <w:sz w:val="18"/>
                            <w:szCs w:val="18"/>
                          </w:rPr>
                          <w:t>员工作</w:t>
                        </w:r>
                        <w:proofErr w:type="gramEnd"/>
                        <w:r>
                          <w:rPr>
                            <w:rFonts w:ascii="Microsoft YaHei UI" w:eastAsia="Microsoft YaHei UI" w:hAnsi="Microsoft YaHei UI" w:hint="eastAsia"/>
                            <w:b/>
                            <w:color w:val="7C6755"/>
                            <w:sz w:val="18"/>
                            <w:szCs w:val="18"/>
                          </w:rPr>
                          <w:t>规定</w:t>
                        </w:r>
                      </w:p>
                    </w:txbxContent>
                  </v:textbox>
                </v:rect>
                <v:rect id="矩形 2" o:spid="_x0000_s1030" style="position:absolute;left:12351;width:40192;height:14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" filled="f" strokecolor="#e4ca9c" strokeweight="1pt">
                  <v:textbox>
                    <w:txbxContent>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正常工作时间每天不超过</w:t>
                        </w:r>
                        <w:r w:rsidRPr="00082622">
                          <w:rPr>
                            <w:rFonts w:ascii="Microsoft YaHei UI" w:eastAsia="Microsoft YaHei UI" w:hAnsi="Microsoft YaHei UI"/>
                            <w:b/>
                            <w:color w:val="7C6755"/>
                            <w:sz w:val="18"/>
                            <w:szCs w:val="18"/>
                          </w:rPr>
                          <w:t>8</w:t>
                        </w:r>
                        <w:r w:rsidRPr="00082622">
                          <w:rPr>
                            <w:rFonts w:ascii="Microsoft YaHei UI" w:eastAsia="Microsoft YaHei UI" w:hAnsi="Microsoft YaHei UI"/>
                            <w:b/>
                            <w:color w:val="7C6755"/>
                            <w:sz w:val="18"/>
                            <w:szCs w:val="18"/>
                          </w:rPr>
                          <w:t>小时，每周不超过5天半（44小时）。若在劳动合同中约定，一周工作时间可以超过44小时，但不得超过48小时或每两周不超过88小时。工人在雇主的要求下在超过规定的时间以外工作，雇主应该支付工人至少正常工资的1.5倍（非劳力工人工资最高按2250新元计算）。雇员每月加班时间不得超过72小时。</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依据劳动合同确定工资，包括工人根据合同完成的超时工作奖金，不包括住宿、水电费、医疗及其他生活福利等。雇主应及时给付工人工资，每个工资周期的工资应该在该周期最后</w:t>
                        </w:r>
                        <w:proofErr w:type="gramStart"/>
                        <w:r w:rsidRPr="00082622">
                          <w:rPr>
                            <w:rFonts w:ascii="Microsoft YaHei UI" w:eastAsia="Microsoft YaHei UI" w:hAnsi="Microsoft YaHei UI" w:hint="eastAsia"/>
                            <w:b/>
                            <w:color w:val="7C6755"/>
                            <w:sz w:val="18"/>
                            <w:szCs w:val="18"/>
                          </w:rPr>
                          <w:t>一</w:t>
                        </w:r>
                        <w:proofErr w:type="gramEnd"/>
                        <w:r w:rsidRPr="00082622">
                          <w:rPr>
                            <w:rFonts w:ascii="Microsoft YaHei UI" w:eastAsia="Microsoft YaHei UI" w:hAnsi="Microsoft YaHei UI" w:hint="eastAsia"/>
                            <w:b/>
                            <w:color w:val="7C6755"/>
                            <w:sz w:val="18"/>
                            <w:szCs w:val="18"/>
                          </w:rPr>
                          <w:t>日后</w:t>
                        </w:r>
                        <w:r w:rsidRPr="00082622">
                          <w:rPr>
                            <w:rFonts w:ascii="Microsoft YaHei UI" w:eastAsia="Microsoft YaHei UI" w:hAnsi="Microsoft YaHei UI"/>
                            <w:b/>
                            <w:color w:val="7C6755"/>
                            <w:sz w:val="18"/>
                            <w:szCs w:val="18"/>
                          </w:rPr>
                          <w:t>7日内支付，每一工资周期的加班费应该在有加班的工资周期最后</w:t>
                        </w:r>
                        <w:proofErr w:type="gramStart"/>
                        <w:r w:rsidRPr="00082622">
                          <w:rPr>
                            <w:rFonts w:ascii="Microsoft YaHei UI" w:eastAsia="Microsoft YaHei UI" w:hAnsi="Microsoft YaHei UI" w:hint="eastAsia"/>
                            <w:b/>
                            <w:color w:val="7C6755"/>
                            <w:sz w:val="18"/>
                            <w:szCs w:val="18"/>
                          </w:rPr>
                          <w:t>一</w:t>
                        </w:r>
                        <w:proofErr w:type="gramEnd"/>
                        <w:r w:rsidRPr="00082622">
                          <w:rPr>
                            <w:rFonts w:ascii="Microsoft YaHei UI" w:eastAsia="Microsoft YaHei UI" w:hAnsi="Microsoft YaHei UI" w:hint="eastAsia"/>
                            <w:b/>
                            <w:color w:val="7C6755"/>
                            <w:sz w:val="18"/>
                            <w:szCs w:val="18"/>
                          </w:rPr>
                          <w:t>日后</w:t>
                        </w:r>
                        <w:r w:rsidRPr="00082622">
                          <w:rPr>
                            <w:rFonts w:ascii="Microsoft YaHei UI" w:eastAsia="Microsoft YaHei UI" w:hAnsi="Microsoft YaHei UI"/>
                            <w:b/>
                            <w:color w:val="7C6755"/>
                            <w:sz w:val="18"/>
                            <w:szCs w:val="18"/>
                          </w:rPr>
                          <w:t>14日内支付。雇主支付工人工资时，可扣除工人未做工日薪、明确托付工人保管的物品的损坏和损失或工人所须负责的钱财损失、预支工资等，上述扣款一般不得超过</w:t>
                        </w:r>
                        <w:proofErr w:type="gramStart"/>
                        <w:r w:rsidRPr="00082622">
                          <w:rPr>
                            <w:rFonts w:ascii="Microsoft YaHei UI" w:eastAsia="Microsoft YaHei UI" w:hAnsi="Microsoft YaHei UI" w:hint="eastAsia"/>
                            <w:b/>
                            <w:color w:val="7C6755"/>
                            <w:sz w:val="18"/>
                            <w:szCs w:val="18"/>
                          </w:rPr>
                          <w:t>该工资</w:t>
                        </w:r>
                        <w:proofErr w:type="gramEnd"/>
                        <w:r w:rsidRPr="00082622">
                          <w:rPr>
                            <w:rFonts w:ascii="Microsoft YaHei UI" w:eastAsia="Microsoft YaHei UI" w:hAnsi="Microsoft YaHei UI" w:hint="eastAsia"/>
                            <w:b/>
                            <w:color w:val="7C6755"/>
                            <w:sz w:val="18"/>
                            <w:szCs w:val="18"/>
                          </w:rPr>
                          <w:t>周期工资的</w:t>
                        </w:r>
                        <w:r w:rsidRPr="00082622">
                          <w:rPr>
                            <w:rFonts w:ascii="Microsoft YaHei UI" w:eastAsia="Microsoft YaHei UI" w:hAnsi="Microsoft YaHei UI"/>
                            <w:b/>
                            <w:color w:val="7C6755"/>
                            <w:sz w:val="18"/>
                            <w:szCs w:val="18"/>
                          </w:rPr>
                          <w:t>50%。</w:t>
                        </w:r>
                      </w:p>
                      <w:p w:rsidR="004C5832" w:rsidRDefault="004C5832" w:rsidP="0036365A">
                        <w:pPr>
                          <w:widowControl/>
                          <w:numPr>
                            <w:ilvl w:val="0"/>
                            <w:numId w:val="6"/>
                          </w:numPr>
                          <w:tabs>
                            <w:tab w:val="left" w:pos="142"/>
                          </w:tabs>
                          <w:spacing w:line="0" w:lineRule="atLeast"/>
                          <w:rPr>
                            <w:rFonts w:ascii="Microsoft YaHei UI" w:eastAsia="Microsoft YaHei UI" w:hAnsi="Microsoft YaHei UI"/>
                            <w:color w:val="7C6755"/>
                            <w:sz w:val="18"/>
                            <w:szCs w:val="18"/>
                          </w:rPr>
                        </w:pPr>
                        <w:r w:rsidRPr="00082622">
                          <w:rPr>
                            <w:rFonts w:ascii="Microsoft YaHei UI" w:eastAsia="Microsoft YaHei UI" w:hAnsi="Microsoft YaHei UI" w:hint="eastAsia"/>
                            <w:b/>
                            <w:color w:val="7C6755"/>
                            <w:sz w:val="18"/>
                            <w:szCs w:val="18"/>
                          </w:rPr>
                          <w:t>新加坡通过建立中央公积金（</w:t>
                        </w:r>
                        <w:r w:rsidRPr="00082622">
                          <w:rPr>
                            <w:rFonts w:ascii="Microsoft YaHei UI" w:eastAsia="Microsoft YaHei UI" w:hAnsi="Microsoft YaHei UI"/>
                            <w:b/>
                            <w:color w:val="7C6755"/>
                            <w:sz w:val="18"/>
                            <w:szCs w:val="18"/>
                          </w:rPr>
                          <w:t>Central Provident Fund, CPF）来为雇员提供全面的社会福利保障。中央公积金制度始于1955年，由新加坡人力资源部下属的中央公积金局负责管理运行，新加坡雇主和雇员均有义务将收入的一部分缴存会员的公积金个人账户，雇主和雇员缴纳的比例根据雇员的年龄而定。目前，私营领域雇主的缴纳比例介于7.5%至17%，雇员缴纳比例介于5%至20%。个人账户分为三部分：普通账户，用于购房、投资、教育支出；保健账户，用于支付住院医疗费用和重症医疗保险；特别账户，用于养老和特殊情况下的紧急支付，一般在退休前不能动用。只有新加坡公民和新加坡永久居民才需缴纳公积金。</w:t>
                        </w:r>
                      </w:p>
                    </w:txbxContent>
                  </v:textbox>
                </v:rect>
                <w10:anchorlock/>
              </v:group>
            </w:pict>
          </mc:Fallback>
        </mc:AlternateContent>
      </w:r>
    </w:p>
    <w:p w:rsidR="0036365A" w:rsidRPr="004853F4" w:rsidRDefault="0036365A" w:rsidP="0036365A">
      <w:pPr>
        <w:rPr>
          <w:rFonts w:ascii="KaiTi" w:eastAsia="KaiTi" w:hAnsi="KaiTi"/>
          <w:sz w:val="24"/>
        </w:rPr>
      </w:pPr>
    </w:p>
    <w:p w:rsidR="0036365A" w:rsidRPr="004853F4" w:rsidRDefault="0036365A" w:rsidP="0036365A">
      <w:pPr>
        <w:ind w:firstLineChars="100" w:firstLine="240"/>
        <w:rPr>
          <w:rFonts w:ascii="KaiTi" w:eastAsia="KaiTi" w:hAnsi="KaiTi"/>
          <w:sz w:val="24"/>
        </w:rPr>
      </w:pPr>
    </w:p>
    <w:p w:rsidR="0036365A" w:rsidRPr="004853F4" w:rsidRDefault="0036365A" w:rsidP="0036365A">
      <w:pPr>
        <w:ind w:firstLineChars="100" w:firstLine="240"/>
        <w:rPr>
          <w:rFonts w:ascii="KaiTi" w:eastAsia="KaiTi" w:hAnsi="KaiTi"/>
          <w:sz w:val="24"/>
        </w:rPr>
      </w:pPr>
    </w:p>
    <w:p w:rsidR="0036365A" w:rsidRPr="004853F4" w:rsidRDefault="0036365A"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r w:rsidRPr="004853F4">
        <w:rPr>
          <w:rFonts w:ascii="KaiTi" w:eastAsia="KaiTi" w:hAnsi="KaiTi" w:hint="eastAsia"/>
          <w:noProof/>
          <w:sz w:val="24"/>
        </w:rPr>
        <w:lastRenderedPageBreak/>
        <mc:AlternateContent>
          <mc:Choice Requires="wpg">
            <w:drawing>
              <wp:anchor distT="0" distB="0" distL="114300" distR="114300" simplePos="0" relativeHeight="251659264" behindDoc="0" locked="0" layoutInCell="1" allowOverlap="1" wp14:anchorId="4C52A73B" wp14:editId="19E65036">
                <wp:simplePos x="0" y="0"/>
                <wp:positionH relativeFrom="column">
                  <wp:posOffset>-58993</wp:posOffset>
                </wp:positionH>
                <wp:positionV relativeFrom="paragraph">
                  <wp:posOffset>127061</wp:posOffset>
                </wp:positionV>
                <wp:extent cx="5724463" cy="4948085"/>
                <wp:effectExtent l="0" t="0" r="10160" b="24130"/>
                <wp:wrapNone/>
                <wp:docPr id="11" name="组合 11"/>
                <wp:cNvGraphicFramePr/>
                <a:graphic xmlns:a="http://schemas.openxmlformats.org/drawingml/2006/main">
                  <a:graphicData uri="http://schemas.microsoft.com/office/word/2010/wordprocessingGroup">
                    <wpg:wgp>
                      <wpg:cNvGrpSpPr/>
                      <wpg:grpSpPr>
                        <a:xfrm>
                          <a:off x="0" y="0"/>
                          <a:ext cx="5724463" cy="4948085"/>
                          <a:chOff x="-56387" y="-48970"/>
                          <a:chExt cx="5471542" cy="1712393"/>
                        </a:xfrm>
                      </wpg:grpSpPr>
                      <wps:wsp>
                        <wps:cNvPr id="6" name="矩形 6"/>
                        <wps:cNvSpPr/>
                        <wps:spPr>
                          <a:xfrm>
                            <a:off x="1127741" y="-48970"/>
                            <a:ext cx="4287414" cy="1712393"/>
                          </a:xfrm>
                          <a:prstGeom prst="rect">
                            <a:avLst/>
                          </a:prstGeom>
                          <a:noFill/>
                          <a:ln>
                            <a:solidFill>
                              <a:srgbClr val="E4CA9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b/>
                                  <w:color w:val="7C6755"/>
                                  <w:sz w:val="18"/>
                                  <w:szCs w:val="18"/>
                                </w:rPr>
                                <w:t>2022</w:t>
                              </w:r>
                              <w:r w:rsidRPr="00082622">
                                <w:rPr>
                                  <w:rFonts w:ascii="Microsoft YaHei UI" w:eastAsia="Microsoft YaHei UI" w:hAnsi="Microsoft YaHei UI"/>
                                  <w:b/>
                                  <w:color w:val="7C6755"/>
                                  <w:sz w:val="18"/>
                                  <w:szCs w:val="18"/>
                                </w:rPr>
                                <w:t>年9月起，专业技术人才工作签证（Employment Pass, EP）申请者最低月薪标准从目前的4500新元/月，调高到5000新元/月。金融服务业从5000新元/月，调高到5500新元/月。熟练和半熟练工人工作签证(Skilled and semi-skilled workers, SP)，2023年9月1日起，申请者最低月薪标准从3000新元/月，调高到3150新元/月，金融服务业调高到3500新元/月，2025年9月将再次调高标准。</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从</w:t>
                              </w:r>
                              <w:r w:rsidRPr="00082622">
                                <w:rPr>
                                  <w:rFonts w:ascii="Microsoft YaHei UI" w:eastAsia="Microsoft YaHei UI" w:hAnsi="Microsoft YaHei UI"/>
                                  <w:b/>
                                  <w:color w:val="7C6755"/>
                                  <w:sz w:val="18"/>
                                  <w:szCs w:val="18"/>
                                </w:rPr>
                                <w:t>2024年1月1日起，建筑业和加工业工作准证(WP)外籍劳工比率顶限将从1比7收紧至1比5，也就是说，企业每聘用一名新加坡本地员工所能引进的外籍劳工，从7人减少为5人。提高外劳税，基本劳工税将在2025年前，由330新</w:t>
                              </w:r>
                              <w:proofErr w:type="gramStart"/>
                              <w:r w:rsidRPr="00082622">
                                <w:rPr>
                                  <w:rFonts w:ascii="Microsoft YaHei UI" w:eastAsia="Microsoft YaHei UI" w:hAnsi="Microsoft YaHei UI" w:hint="eastAsia"/>
                                  <w:b/>
                                  <w:color w:val="7C6755"/>
                                  <w:sz w:val="18"/>
                                  <w:szCs w:val="18"/>
                                </w:rPr>
                                <w:t>元逐步</w:t>
                              </w:r>
                              <w:proofErr w:type="gramEnd"/>
                              <w:r w:rsidRPr="00082622">
                                <w:rPr>
                                  <w:rFonts w:ascii="Microsoft YaHei UI" w:eastAsia="Microsoft YaHei UI" w:hAnsi="Microsoft YaHei UI" w:hint="eastAsia"/>
                                  <w:b/>
                                  <w:color w:val="7C6755"/>
                                  <w:sz w:val="18"/>
                                  <w:szCs w:val="18"/>
                                </w:rPr>
                                <w:t>提高至</w:t>
                              </w:r>
                              <w:r w:rsidRPr="00082622">
                                <w:rPr>
                                  <w:rFonts w:ascii="Microsoft YaHei UI" w:eastAsia="Microsoft YaHei UI" w:hAnsi="Microsoft YaHei UI"/>
                                  <w:b/>
                                  <w:color w:val="7C6755"/>
                                  <w:sz w:val="18"/>
                                  <w:szCs w:val="18"/>
                                </w:rPr>
                                <w:t>650新元。</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废止现有的外劳配额（</w:t>
                              </w:r>
                              <w:r w:rsidRPr="00082622">
                                <w:rPr>
                                  <w:rFonts w:ascii="Microsoft YaHei UI" w:eastAsia="Microsoft YaHei UI" w:hAnsi="Microsoft YaHei UI"/>
                                  <w:b/>
                                  <w:color w:val="7C6755"/>
                                  <w:sz w:val="18"/>
                                  <w:szCs w:val="18"/>
                                </w:rPr>
                                <w:t>Man-Year Entitlement，简称MYE），政府将通过新的</w:t>
                              </w:r>
                              <w:proofErr w:type="gramStart"/>
                              <w:r w:rsidRPr="00082622">
                                <w:rPr>
                                  <w:rFonts w:ascii="Microsoft YaHei UI" w:eastAsia="Microsoft YaHei UI" w:hAnsi="Microsoft YaHei UI" w:hint="eastAsia"/>
                                  <w:b/>
                                  <w:color w:val="7C6755"/>
                                  <w:sz w:val="18"/>
                                  <w:szCs w:val="18"/>
                                </w:rPr>
                                <w:t>外劳税</w:t>
                              </w:r>
                              <w:proofErr w:type="gramEnd"/>
                              <w:r w:rsidRPr="00082622">
                                <w:rPr>
                                  <w:rFonts w:ascii="Microsoft YaHei UI" w:eastAsia="Microsoft YaHei UI" w:hAnsi="Microsoft YaHei UI" w:hint="eastAsia"/>
                                  <w:b/>
                                  <w:color w:val="7C6755"/>
                                  <w:sz w:val="18"/>
                                  <w:szCs w:val="18"/>
                                </w:rPr>
                                <w:t>框架鼓励企业聘用更多高技能工作准证持有者，以及支持更多的场外工作（</w:t>
                              </w:r>
                              <w:r w:rsidRPr="00082622">
                                <w:rPr>
                                  <w:rFonts w:ascii="Microsoft YaHei UI" w:eastAsia="Microsoft YaHei UI" w:hAnsi="Microsoft YaHei UI"/>
                                  <w:b/>
                                  <w:color w:val="7C6755"/>
                                  <w:sz w:val="18"/>
                                  <w:szCs w:val="18"/>
                                </w:rPr>
                                <w:t>offsite work）。新加坡财政部长黄循财表示，</w:t>
                              </w:r>
                              <w:proofErr w:type="gramStart"/>
                              <w:r w:rsidRPr="00082622">
                                <w:rPr>
                                  <w:rFonts w:ascii="Microsoft YaHei UI" w:eastAsia="Microsoft YaHei UI" w:hAnsi="Microsoft YaHei UI" w:hint="eastAsia"/>
                                  <w:b/>
                                  <w:color w:val="7C6755"/>
                                  <w:sz w:val="18"/>
                                  <w:szCs w:val="18"/>
                                </w:rPr>
                                <w:t>客工比率</w:t>
                              </w:r>
                              <w:proofErr w:type="gramEnd"/>
                              <w:r w:rsidRPr="00082622">
                                <w:rPr>
                                  <w:rFonts w:ascii="Microsoft YaHei UI" w:eastAsia="Microsoft YaHei UI" w:hAnsi="Microsoft YaHei UI" w:hint="eastAsia"/>
                                  <w:b/>
                                  <w:color w:val="7C6755"/>
                                  <w:sz w:val="18"/>
                                  <w:szCs w:val="18"/>
                                </w:rPr>
                                <w:t>顶限（</w:t>
                              </w:r>
                              <w:r w:rsidRPr="00082622">
                                <w:rPr>
                                  <w:rFonts w:ascii="Microsoft YaHei UI" w:eastAsia="Microsoft YaHei UI" w:hAnsi="Microsoft YaHei UI"/>
                                  <w:b/>
                                  <w:color w:val="7C6755"/>
                                  <w:sz w:val="18"/>
                                  <w:szCs w:val="18"/>
                                </w:rPr>
                                <w:t>Dependency Ratio Ceiling，简称DRC）和外劳配额的调整将促进生产力的提高，以及为节约人力的解决方案提供支持，这会帮助严重依赖外籍员工的行业转型。</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b/>
                                  <w:color w:val="7C6755"/>
                                  <w:sz w:val="18"/>
                                  <w:szCs w:val="18"/>
                                </w:rPr>
                                <w:t>2022年7月1日起，新加坡人力部将实施COE（更换雇主）计划，制造业和服务业公司可以雇佣本行业现有工作许可证持有者，工作准证持有者，在其WP准证有效期40天到21天（含）之内更换工作，不需要现任雇主的同意。这项计划将永久实施，不设置任何期限。</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b/>
                                  <w:color w:val="7C6755"/>
                                  <w:sz w:val="18"/>
                                  <w:szCs w:val="18"/>
                                </w:rPr>
                                <w:t>2022年8月，新加坡人力部宣布了新的工作签证规定。新</w:t>
                              </w:r>
                              <w:proofErr w:type="gramStart"/>
                              <w:r w:rsidRPr="00082622">
                                <w:rPr>
                                  <w:rFonts w:ascii="Microsoft YaHei UI" w:eastAsia="Microsoft YaHei UI" w:hAnsi="Microsoft YaHei UI" w:hint="eastAsia"/>
                                  <w:b/>
                                  <w:color w:val="7C6755"/>
                                  <w:sz w:val="18"/>
                                  <w:szCs w:val="18"/>
                                </w:rPr>
                                <w:t>规</w:t>
                              </w:r>
                              <w:proofErr w:type="gramEnd"/>
                              <w:r w:rsidRPr="00082622">
                                <w:rPr>
                                  <w:rFonts w:ascii="Microsoft YaHei UI" w:eastAsia="Microsoft YaHei UI" w:hAnsi="Microsoft YaHei UI" w:hint="eastAsia"/>
                                  <w:b/>
                                  <w:color w:val="7C6755"/>
                                  <w:sz w:val="18"/>
                                  <w:szCs w:val="18"/>
                                </w:rPr>
                                <w:t>包括对月收入不低于</w:t>
                              </w:r>
                              <w:r w:rsidRPr="00082622">
                                <w:rPr>
                                  <w:rFonts w:ascii="Microsoft YaHei UI" w:eastAsia="Microsoft YaHei UI" w:hAnsi="Microsoft YaHei UI"/>
                                  <w:b/>
                                  <w:color w:val="7C6755"/>
                                  <w:sz w:val="18"/>
                                  <w:szCs w:val="18"/>
                                </w:rPr>
                                <w:t>3万新元的外籍人士发放5年期工作签证（Overseas Networks &amp; Expertise Pass），允许其同时创办、运营或供职于多家公司，并允许其配偶获得工作资格。</w:t>
                              </w:r>
                            </w:p>
                            <w:p w:rsidR="004C5832" w:rsidRDefault="004C5832" w:rsidP="0036365A">
                              <w:pPr>
                                <w:widowControl/>
                                <w:numPr>
                                  <w:ilvl w:val="0"/>
                                  <w:numId w:val="6"/>
                                </w:numPr>
                                <w:tabs>
                                  <w:tab w:val="left" w:pos="142"/>
                                </w:tabs>
                                <w:spacing w:line="0" w:lineRule="atLeast"/>
                                <w:rPr>
                                  <w:rFonts w:ascii="Microsoft YaHei UI" w:eastAsia="Microsoft YaHei UI" w:hAnsi="Microsoft YaHei UI"/>
                                  <w:color w:val="7C6755"/>
                                  <w:sz w:val="18"/>
                                  <w:szCs w:val="18"/>
                                </w:rPr>
                              </w:pPr>
                              <w:r w:rsidRPr="00082622">
                                <w:rPr>
                                  <w:rFonts w:ascii="Microsoft YaHei UI" w:eastAsia="Microsoft YaHei UI" w:hAnsi="Microsoft YaHei UI" w:hint="eastAsia"/>
                                  <w:b/>
                                  <w:color w:val="7C6755"/>
                                  <w:sz w:val="18"/>
                                  <w:szCs w:val="18"/>
                                </w:rPr>
                                <w:t>从</w:t>
                              </w:r>
                              <w:r w:rsidRPr="00082622">
                                <w:rPr>
                                  <w:rFonts w:ascii="Microsoft YaHei UI" w:eastAsia="Microsoft YaHei UI" w:hAnsi="Microsoft YaHei UI"/>
                                  <w:b/>
                                  <w:color w:val="7C6755"/>
                                  <w:sz w:val="18"/>
                                  <w:szCs w:val="18"/>
                                </w:rPr>
                                <w:t>2023年9月起，目前面临短缺的特定专业技术人士将有资格获得5年期签证；相关工作签证申请处理时间也将缩短至10天。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56387" y="13628"/>
                            <a:ext cx="1070963" cy="287001"/>
                          </a:xfrm>
                          <a:prstGeom prst="rect">
                            <a:avLst/>
                          </a:prstGeom>
                          <a:solidFill>
                            <a:srgbClr val="E4CA9C"/>
                          </a:solidFill>
                          <a:ln>
                            <a:solidFill>
                              <a:srgbClr val="E4CA9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5832" w:rsidRDefault="004C5832" w:rsidP="002C4117">
                              <w:pPr>
                                <w:rPr>
                                  <w:rFonts w:ascii="Microsoft YaHei UI" w:eastAsia="Microsoft YaHei UI" w:hAnsi="Microsoft YaHei UI"/>
                                  <w:b/>
                                  <w:color w:val="7C6755"/>
                                  <w:sz w:val="18"/>
                                  <w:szCs w:val="18"/>
                                </w:rPr>
                              </w:pPr>
                              <w:r>
                                <w:rPr>
                                  <w:rFonts w:ascii="Microsoft YaHei UI" w:eastAsia="Microsoft YaHei UI" w:hAnsi="Microsoft YaHei UI" w:hint="eastAsia"/>
                                  <w:b/>
                                  <w:color w:val="7C6755"/>
                                  <w:sz w:val="18"/>
                                  <w:szCs w:val="18"/>
                                </w:rPr>
                                <w:t>外国人在新加坡工作</w:t>
                              </w:r>
                              <w:proofErr w:type="gramStart"/>
                              <w:r>
                                <w:rPr>
                                  <w:rFonts w:ascii="Microsoft YaHei UI" w:eastAsia="Microsoft YaHei UI" w:hAnsi="Microsoft YaHei UI" w:hint="eastAsia"/>
                                  <w:b/>
                                  <w:color w:val="7C6755"/>
                                  <w:sz w:val="18"/>
                                  <w:szCs w:val="18"/>
                                </w:rPr>
                                <w:t>作</w:t>
                              </w:r>
                              <w:proofErr w:type="gramEnd"/>
                              <w:r>
                                <w:rPr>
                                  <w:rFonts w:ascii="Microsoft YaHei UI" w:eastAsia="Microsoft YaHei UI" w:hAnsi="Microsoft YaHei UI" w:hint="eastAsia"/>
                                  <w:b/>
                                  <w:color w:val="7C6755"/>
                                  <w:sz w:val="18"/>
                                  <w:szCs w:val="18"/>
                                </w:rPr>
                                <w:t>规定及政策</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C52A73B" id="组合 11" o:spid="_x0000_s1031" style="position:absolute;left:0;text-align:left;margin-left:-4.65pt;margin-top:10pt;width:450.75pt;height:389.6pt;z-index:251659264;mso-position-horizontal-relative:text;mso-position-vertical-relative:text;mso-width-relative:margin;mso-height-relative:margin" coordorigin="-563,-489" coordsize="54715,1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">
                <v:rect id="矩形 6" o:spid="_x0000_s1032" style="position:absolute;left:11277;top:-489;width:42874;height:1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" filled="f" strokecolor="#e4ca9c" strokeweight="1pt">
                  <v:textbox>
                    <w:txbxContent>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b/>
                            <w:color w:val="7C6755"/>
                            <w:sz w:val="18"/>
                            <w:szCs w:val="18"/>
                          </w:rPr>
                          <w:t>2022</w:t>
                        </w:r>
                        <w:r w:rsidRPr="00082622">
                          <w:rPr>
                            <w:rFonts w:ascii="Microsoft YaHei UI" w:eastAsia="Microsoft YaHei UI" w:hAnsi="Microsoft YaHei UI"/>
                            <w:b/>
                            <w:color w:val="7C6755"/>
                            <w:sz w:val="18"/>
                            <w:szCs w:val="18"/>
                          </w:rPr>
                          <w:t>年9月起，专业技术人才工作签证（Employment Pass, EP）申请者最低月薪标准从目前的4500新元/月，调高到5000新元/月。金融服务业从5000新元/月，调高到5500新元/月。熟练和半熟练工人工作签证(Skilled and semi-skilled workers, SP)，2023年9月1日起，申请者最低月薪标准从3000新元/月，调高到3150新元/月，金融服务业调高到3500新元/月，2025年9月将再次调高标准。</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从</w:t>
                        </w:r>
                        <w:r w:rsidRPr="00082622">
                          <w:rPr>
                            <w:rFonts w:ascii="Microsoft YaHei UI" w:eastAsia="Microsoft YaHei UI" w:hAnsi="Microsoft YaHei UI"/>
                            <w:b/>
                            <w:color w:val="7C6755"/>
                            <w:sz w:val="18"/>
                            <w:szCs w:val="18"/>
                          </w:rPr>
                          <w:t>2024年1月1日起，建筑业和加工业工作准证(WP)外籍劳工比率顶限将从1比7收紧至1比5，也就是说，企业每聘用一名新加坡本地员工所能引进的外籍劳工，从7人减少为5人。提高外劳税，基本劳工税将在2025年前，由330新</w:t>
                        </w:r>
                        <w:proofErr w:type="gramStart"/>
                        <w:r w:rsidRPr="00082622">
                          <w:rPr>
                            <w:rFonts w:ascii="Microsoft YaHei UI" w:eastAsia="Microsoft YaHei UI" w:hAnsi="Microsoft YaHei UI" w:hint="eastAsia"/>
                            <w:b/>
                            <w:color w:val="7C6755"/>
                            <w:sz w:val="18"/>
                            <w:szCs w:val="18"/>
                          </w:rPr>
                          <w:t>元逐步</w:t>
                        </w:r>
                        <w:proofErr w:type="gramEnd"/>
                        <w:r w:rsidRPr="00082622">
                          <w:rPr>
                            <w:rFonts w:ascii="Microsoft YaHei UI" w:eastAsia="Microsoft YaHei UI" w:hAnsi="Microsoft YaHei UI" w:hint="eastAsia"/>
                            <w:b/>
                            <w:color w:val="7C6755"/>
                            <w:sz w:val="18"/>
                            <w:szCs w:val="18"/>
                          </w:rPr>
                          <w:t>提高至</w:t>
                        </w:r>
                        <w:r w:rsidRPr="00082622">
                          <w:rPr>
                            <w:rFonts w:ascii="Microsoft YaHei UI" w:eastAsia="Microsoft YaHei UI" w:hAnsi="Microsoft YaHei UI"/>
                            <w:b/>
                            <w:color w:val="7C6755"/>
                            <w:sz w:val="18"/>
                            <w:szCs w:val="18"/>
                          </w:rPr>
                          <w:t>650新元。</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hint="eastAsia"/>
                            <w:b/>
                            <w:color w:val="7C6755"/>
                            <w:sz w:val="18"/>
                            <w:szCs w:val="18"/>
                          </w:rPr>
                          <w:t>废止现有的外劳配额（</w:t>
                        </w:r>
                        <w:r w:rsidRPr="00082622">
                          <w:rPr>
                            <w:rFonts w:ascii="Microsoft YaHei UI" w:eastAsia="Microsoft YaHei UI" w:hAnsi="Microsoft YaHei UI"/>
                            <w:b/>
                            <w:color w:val="7C6755"/>
                            <w:sz w:val="18"/>
                            <w:szCs w:val="18"/>
                          </w:rPr>
                          <w:t>Man-Year Entitlement，简称MYE），政府将通过新的</w:t>
                        </w:r>
                        <w:proofErr w:type="gramStart"/>
                        <w:r w:rsidRPr="00082622">
                          <w:rPr>
                            <w:rFonts w:ascii="Microsoft YaHei UI" w:eastAsia="Microsoft YaHei UI" w:hAnsi="Microsoft YaHei UI" w:hint="eastAsia"/>
                            <w:b/>
                            <w:color w:val="7C6755"/>
                            <w:sz w:val="18"/>
                            <w:szCs w:val="18"/>
                          </w:rPr>
                          <w:t>外劳税</w:t>
                        </w:r>
                        <w:proofErr w:type="gramEnd"/>
                        <w:r w:rsidRPr="00082622">
                          <w:rPr>
                            <w:rFonts w:ascii="Microsoft YaHei UI" w:eastAsia="Microsoft YaHei UI" w:hAnsi="Microsoft YaHei UI" w:hint="eastAsia"/>
                            <w:b/>
                            <w:color w:val="7C6755"/>
                            <w:sz w:val="18"/>
                            <w:szCs w:val="18"/>
                          </w:rPr>
                          <w:t>框架鼓励企业聘用更多高技能工作准证持有者，以及支持更多的场外工作（</w:t>
                        </w:r>
                        <w:r w:rsidRPr="00082622">
                          <w:rPr>
                            <w:rFonts w:ascii="Microsoft YaHei UI" w:eastAsia="Microsoft YaHei UI" w:hAnsi="Microsoft YaHei UI"/>
                            <w:b/>
                            <w:color w:val="7C6755"/>
                            <w:sz w:val="18"/>
                            <w:szCs w:val="18"/>
                          </w:rPr>
                          <w:t>offsite work）。新加坡财政部长黄循财表示，</w:t>
                        </w:r>
                        <w:proofErr w:type="gramStart"/>
                        <w:r w:rsidRPr="00082622">
                          <w:rPr>
                            <w:rFonts w:ascii="Microsoft YaHei UI" w:eastAsia="Microsoft YaHei UI" w:hAnsi="Microsoft YaHei UI" w:hint="eastAsia"/>
                            <w:b/>
                            <w:color w:val="7C6755"/>
                            <w:sz w:val="18"/>
                            <w:szCs w:val="18"/>
                          </w:rPr>
                          <w:t>客工比率</w:t>
                        </w:r>
                        <w:proofErr w:type="gramEnd"/>
                        <w:r w:rsidRPr="00082622">
                          <w:rPr>
                            <w:rFonts w:ascii="Microsoft YaHei UI" w:eastAsia="Microsoft YaHei UI" w:hAnsi="Microsoft YaHei UI" w:hint="eastAsia"/>
                            <w:b/>
                            <w:color w:val="7C6755"/>
                            <w:sz w:val="18"/>
                            <w:szCs w:val="18"/>
                          </w:rPr>
                          <w:t>顶限（</w:t>
                        </w:r>
                        <w:r w:rsidRPr="00082622">
                          <w:rPr>
                            <w:rFonts w:ascii="Microsoft YaHei UI" w:eastAsia="Microsoft YaHei UI" w:hAnsi="Microsoft YaHei UI"/>
                            <w:b/>
                            <w:color w:val="7C6755"/>
                            <w:sz w:val="18"/>
                            <w:szCs w:val="18"/>
                          </w:rPr>
                          <w:t>Dependency Ratio Ceiling，简称DRC）和外劳配额的调整将促进生产力的提高，以及为节约人力的解决方案提供支持，这会帮助严重依赖外籍员工的行业转型。</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b/>
                            <w:color w:val="7C6755"/>
                            <w:sz w:val="18"/>
                            <w:szCs w:val="18"/>
                          </w:rPr>
                          <w:t>2022年7月1日起，新加坡人力部将实施COE（更换雇主）计划，制造业和服务业公司可以雇佣本行业现有工作许可证持有者，工作准证持有者，在其WP准证有效期40天到21天（含）之内更换工作，不需要现任雇主的同意。这项计划将永久实施，不设置任何期限。</w:t>
                        </w:r>
                      </w:p>
                      <w:p w:rsidR="004C5832" w:rsidRPr="00082622" w:rsidRDefault="004C5832" w:rsidP="0036365A">
                        <w:pPr>
                          <w:widowControl/>
                          <w:numPr>
                            <w:ilvl w:val="0"/>
                            <w:numId w:val="6"/>
                          </w:numPr>
                          <w:tabs>
                            <w:tab w:val="left" w:pos="142"/>
                          </w:tabs>
                          <w:spacing w:line="0" w:lineRule="atLeast"/>
                          <w:rPr>
                            <w:rFonts w:ascii="Microsoft YaHei UI" w:eastAsia="Microsoft YaHei UI" w:hAnsi="Microsoft YaHei UI"/>
                            <w:b/>
                            <w:color w:val="7C6755"/>
                            <w:sz w:val="18"/>
                            <w:szCs w:val="18"/>
                          </w:rPr>
                        </w:pPr>
                        <w:r w:rsidRPr="00082622">
                          <w:rPr>
                            <w:rFonts w:ascii="Microsoft YaHei UI" w:eastAsia="Microsoft YaHei UI" w:hAnsi="Microsoft YaHei UI"/>
                            <w:b/>
                            <w:color w:val="7C6755"/>
                            <w:sz w:val="18"/>
                            <w:szCs w:val="18"/>
                          </w:rPr>
                          <w:t>2022年8月，新加坡人力部宣布了新的工作签证规定。新</w:t>
                        </w:r>
                        <w:proofErr w:type="gramStart"/>
                        <w:r w:rsidRPr="00082622">
                          <w:rPr>
                            <w:rFonts w:ascii="Microsoft YaHei UI" w:eastAsia="Microsoft YaHei UI" w:hAnsi="Microsoft YaHei UI" w:hint="eastAsia"/>
                            <w:b/>
                            <w:color w:val="7C6755"/>
                            <w:sz w:val="18"/>
                            <w:szCs w:val="18"/>
                          </w:rPr>
                          <w:t>规</w:t>
                        </w:r>
                        <w:proofErr w:type="gramEnd"/>
                        <w:r w:rsidRPr="00082622">
                          <w:rPr>
                            <w:rFonts w:ascii="Microsoft YaHei UI" w:eastAsia="Microsoft YaHei UI" w:hAnsi="Microsoft YaHei UI" w:hint="eastAsia"/>
                            <w:b/>
                            <w:color w:val="7C6755"/>
                            <w:sz w:val="18"/>
                            <w:szCs w:val="18"/>
                          </w:rPr>
                          <w:t>包括对月收入不低于</w:t>
                        </w:r>
                        <w:r w:rsidRPr="00082622">
                          <w:rPr>
                            <w:rFonts w:ascii="Microsoft YaHei UI" w:eastAsia="Microsoft YaHei UI" w:hAnsi="Microsoft YaHei UI"/>
                            <w:b/>
                            <w:color w:val="7C6755"/>
                            <w:sz w:val="18"/>
                            <w:szCs w:val="18"/>
                          </w:rPr>
                          <w:t>3万新元的外籍人士发放5年期工作签证（Overseas Networks &amp; Expertise Pass），允许其同时创办、运营或供职于多家公司，并允许其配偶获得工作资格。</w:t>
                        </w:r>
                      </w:p>
                      <w:p w:rsidR="004C5832" w:rsidRDefault="004C5832" w:rsidP="0036365A">
                        <w:pPr>
                          <w:widowControl/>
                          <w:numPr>
                            <w:ilvl w:val="0"/>
                            <w:numId w:val="6"/>
                          </w:numPr>
                          <w:tabs>
                            <w:tab w:val="left" w:pos="142"/>
                          </w:tabs>
                          <w:spacing w:line="0" w:lineRule="atLeast"/>
                          <w:rPr>
                            <w:rFonts w:ascii="Microsoft YaHei UI" w:eastAsia="Microsoft YaHei UI" w:hAnsi="Microsoft YaHei UI"/>
                            <w:color w:val="7C6755"/>
                            <w:sz w:val="18"/>
                            <w:szCs w:val="18"/>
                          </w:rPr>
                        </w:pPr>
                        <w:r w:rsidRPr="00082622">
                          <w:rPr>
                            <w:rFonts w:ascii="Microsoft YaHei UI" w:eastAsia="Microsoft YaHei UI" w:hAnsi="Microsoft YaHei UI" w:hint="eastAsia"/>
                            <w:b/>
                            <w:color w:val="7C6755"/>
                            <w:sz w:val="18"/>
                            <w:szCs w:val="18"/>
                          </w:rPr>
                          <w:t>从</w:t>
                        </w:r>
                        <w:r w:rsidRPr="00082622">
                          <w:rPr>
                            <w:rFonts w:ascii="Microsoft YaHei UI" w:eastAsia="Microsoft YaHei UI" w:hAnsi="Microsoft YaHei UI"/>
                            <w:b/>
                            <w:color w:val="7C6755"/>
                            <w:sz w:val="18"/>
                            <w:szCs w:val="18"/>
                          </w:rPr>
                          <w:t>2023年9月起，目前面临短缺的特定专业技术人士将有资格获得5年期签证；相关工作签证申请处理时间也将缩短至10天。</w:t>
                        </w:r>
                      </w:p>
                    </w:txbxContent>
                  </v:textbox>
                </v:rect>
                <v:rect id="矩形 7" o:spid="_x0000_s1033" style="position:absolute;left:-563;top:136;width:1070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" fillcolor="#e4ca9c" strokecolor="#e4ca9c" strokeweight="1pt">
                  <v:textbox>
                    <w:txbxContent>
                      <w:p w:rsidR="004C5832" w:rsidRDefault="004C5832" w:rsidP="002C4117">
                        <w:pPr>
                          <w:rPr>
                            <w:rFonts w:ascii="Microsoft YaHei UI" w:eastAsia="Microsoft YaHei UI" w:hAnsi="Microsoft YaHei UI"/>
                            <w:b/>
                            <w:color w:val="7C6755"/>
                            <w:sz w:val="18"/>
                            <w:szCs w:val="18"/>
                          </w:rPr>
                        </w:pPr>
                        <w:r>
                          <w:rPr>
                            <w:rFonts w:ascii="Microsoft YaHei UI" w:eastAsia="Microsoft YaHei UI" w:hAnsi="Microsoft YaHei UI" w:hint="eastAsia"/>
                            <w:b/>
                            <w:color w:val="7C6755"/>
                            <w:sz w:val="18"/>
                            <w:szCs w:val="18"/>
                          </w:rPr>
                          <w:t>外国人在新加坡工作</w:t>
                        </w:r>
                        <w:proofErr w:type="gramStart"/>
                        <w:r>
                          <w:rPr>
                            <w:rFonts w:ascii="Microsoft YaHei UI" w:eastAsia="Microsoft YaHei UI" w:hAnsi="Microsoft YaHei UI" w:hint="eastAsia"/>
                            <w:b/>
                            <w:color w:val="7C6755"/>
                            <w:sz w:val="18"/>
                            <w:szCs w:val="18"/>
                          </w:rPr>
                          <w:t>作</w:t>
                        </w:r>
                        <w:proofErr w:type="gramEnd"/>
                        <w:r>
                          <w:rPr>
                            <w:rFonts w:ascii="Microsoft YaHei UI" w:eastAsia="Microsoft YaHei UI" w:hAnsi="Microsoft YaHei UI" w:hint="eastAsia"/>
                            <w:b/>
                            <w:color w:val="7C6755"/>
                            <w:sz w:val="18"/>
                            <w:szCs w:val="18"/>
                          </w:rPr>
                          <w:t>规定及政策</w:t>
                        </w:r>
                      </w:p>
                    </w:txbxContent>
                  </v:textbox>
                </v:rect>
              </v:group>
            </w:pict>
          </mc:Fallback>
        </mc:AlternateContent>
      </w:r>
    </w:p>
    <w:p w:rsidR="002C4117" w:rsidRDefault="002C4117"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p>
    <w:p w:rsidR="002C4117" w:rsidRDefault="002C4117" w:rsidP="0036365A">
      <w:pPr>
        <w:ind w:firstLineChars="100" w:firstLine="240"/>
        <w:rPr>
          <w:rFonts w:ascii="KaiTi" w:eastAsia="KaiTi" w:hAnsi="KaiTi"/>
          <w:sz w:val="24"/>
        </w:rPr>
      </w:pPr>
    </w:p>
    <w:p w:rsidR="002C4117" w:rsidRPr="004853F4" w:rsidRDefault="002C4117" w:rsidP="0036365A">
      <w:pPr>
        <w:ind w:firstLineChars="100" w:firstLine="240"/>
        <w:rPr>
          <w:rFonts w:ascii="KaiTi" w:eastAsia="KaiTi" w:hAnsi="KaiTi" w:hint="eastAsia"/>
          <w:sz w:val="24"/>
        </w:rPr>
      </w:pPr>
    </w:p>
    <w:p w:rsidR="0036365A" w:rsidRPr="004853F4" w:rsidRDefault="0036365A" w:rsidP="0036365A">
      <w:pPr>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2C4117" w:rsidRDefault="002C4117"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sz w:val="24"/>
        </w:rPr>
        <w:t>对于</w:t>
      </w:r>
      <w:r w:rsidRPr="004853F4">
        <w:rPr>
          <w:rFonts w:ascii="KaiTi" w:eastAsia="KaiTi" w:hAnsi="KaiTi" w:hint="eastAsia"/>
          <w:sz w:val="24"/>
        </w:rPr>
        <w:t>中国出</w:t>
      </w:r>
      <w:r w:rsidRPr="004853F4">
        <w:rPr>
          <w:rFonts w:ascii="KaiTi" w:eastAsia="KaiTi" w:hAnsi="KaiTi"/>
          <w:sz w:val="24"/>
        </w:rPr>
        <w:t>海</w:t>
      </w:r>
      <w:r w:rsidRPr="004853F4">
        <w:rPr>
          <w:rFonts w:ascii="KaiTi" w:eastAsia="KaiTi" w:hAnsi="KaiTi" w:hint="eastAsia"/>
          <w:sz w:val="24"/>
        </w:rPr>
        <w:t>新加坡的企业</w:t>
      </w:r>
      <w:r w:rsidRPr="004853F4">
        <w:rPr>
          <w:rFonts w:ascii="KaiTi" w:eastAsia="KaiTi" w:hAnsi="KaiTi"/>
          <w:sz w:val="24"/>
        </w:rPr>
        <w:t>而言，</w:t>
      </w:r>
      <w:r w:rsidRPr="004853F4">
        <w:rPr>
          <w:rFonts w:ascii="KaiTi" w:eastAsia="KaiTi" w:hAnsi="KaiTi" w:hint="eastAsia"/>
          <w:sz w:val="24"/>
        </w:rPr>
        <w:t>应着重注意以下事项：</w:t>
      </w:r>
    </w:p>
    <w:p w:rsidR="0036365A" w:rsidRPr="004853F4" w:rsidRDefault="0036365A" w:rsidP="0036365A">
      <w:pPr>
        <w:pStyle w:val="a4"/>
        <w:numPr>
          <w:ilvl w:val="0"/>
          <w:numId w:val="8"/>
        </w:numPr>
        <w:spacing w:line="0" w:lineRule="atLeast"/>
        <w:ind w:firstLineChars="0"/>
        <w:jc w:val="both"/>
        <w:rPr>
          <w:rFonts w:ascii="KaiTi" w:eastAsia="KaiTi" w:hAnsi="KaiTi"/>
        </w:rPr>
      </w:pPr>
      <w:r w:rsidRPr="004853F4">
        <w:rPr>
          <w:rFonts w:ascii="KaiTi" w:eastAsia="KaiTi" w:hAnsi="KaiTi" w:hint="eastAsia"/>
        </w:rPr>
        <w:t>外籍劳务需求大</w:t>
      </w:r>
      <w:r w:rsidRPr="004853F4">
        <w:rPr>
          <w:rFonts w:ascii="KaiTi" w:eastAsia="KaiTi" w:hAnsi="KaiTi"/>
        </w:rPr>
        <w:t>：</w:t>
      </w:r>
      <w:r w:rsidRPr="004853F4">
        <w:rPr>
          <w:rFonts w:ascii="KaiTi" w:eastAsia="KaiTi" w:hAnsi="KaiTi" w:hint="eastAsia"/>
        </w:rPr>
        <w:t>受国内劳动力供应不足及结构性供求失衡影响，新加坡对外籍劳务需求很大，外劳是新加坡的主要就业力量之一，占新加坡劳动力总数的近四成，主要分布在服务业、加工制造业、建筑业和海事业。</w:t>
      </w:r>
    </w:p>
    <w:p w:rsidR="0036365A" w:rsidRPr="004853F4" w:rsidRDefault="0036365A" w:rsidP="0036365A">
      <w:pPr>
        <w:pStyle w:val="a4"/>
        <w:spacing w:line="0" w:lineRule="atLeast"/>
        <w:ind w:left="840" w:firstLineChars="0" w:firstLine="0"/>
        <w:jc w:val="both"/>
        <w:rPr>
          <w:rFonts w:ascii="KaiTi" w:eastAsia="KaiTi" w:hAnsi="KaiTi"/>
        </w:rPr>
      </w:pPr>
    </w:p>
    <w:p w:rsidR="0036365A" w:rsidRPr="004853F4" w:rsidRDefault="0036365A" w:rsidP="0036365A">
      <w:pPr>
        <w:pStyle w:val="a4"/>
        <w:numPr>
          <w:ilvl w:val="0"/>
          <w:numId w:val="8"/>
        </w:numPr>
        <w:spacing w:line="0" w:lineRule="atLeast"/>
        <w:ind w:firstLineChars="0"/>
        <w:jc w:val="both"/>
        <w:rPr>
          <w:rFonts w:ascii="KaiTi" w:eastAsia="KaiTi" w:hAnsi="KaiTi"/>
        </w:rPr>
      </w:pPr>
      <w:r w:rsidRPr="004853F4">
        <w:rPr>
          <w:rFonts w:ascii="KaiTi" w:eastAsia="KaiTi" w:hAnsi="KaiTi"/>
        </w:rPr>
        <w:t>外籍员工</w:t>
      </w:r>
      <w:r w:rsidRPr="004853F4">
        <w:rPr>
          <w:rFonts w:ascii="KaiTi" w:eastAsia="KaiTi" w:hAnsi="KaiTi" w:hint="eastAsia"/>
        </w:rPr>
        <w:t>用工申请</w:t>
      </w:r>
      <w:r w:rsidRPr="004853F4">
        <w:rPr>
          <w:rFonts w:ascii="KaiTi" w:eastAsia="KaiTi" w:hAnsi="KaiTi"/>
        </w:rPr>
        <w:t>：</w:t>
      </w:r>
      <w:r w:rsidRPr="004853F4">
        <w:rPr>
          <w:rFonts w:ascii="KaiTi" w:eastAsia="KaiTi" w:hAnsi="KaiTi" w:hint="eastAsia"/>
        </w:rPr>
        <w:t>雇主或由雇主委托的中介公司可通过新加坡人力资源部的各种网上申请网站（即工作准证网上申请网站（Work Pass Online）或就业准证网上申请网站（EP Online））提出拟聘用外籍人员的工作许可申请，人力资源部签发相应的工作许可后，外籍人员方可入境工作。</w:t>
      </w:r>
    </w:p>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11" w:name="_Toc228187426"/>
      <w:r w:rsidRPr="00A02EA3">
        <w:rPr>
          <w:rFonts w:ascii="楷体" w:eastAsia="楷体" w:hAnsi="楷体" w:cs="楷体"/>
          <w:b/>
          <w:sz w:val="28"/>
          <w:szCs w:val="28"/>
          <w:u w:color="000000"/>
          <w:bdr w:val="nil"/>
        </w:rPr>
        <w:t>税务</w:t>
      </w:r>
      <w:bookmarkEnd w:id="11"/>
    </w:p>
    <w:p w:rsidR="0036365A" w:rsidRPr="00A02EA3" w:rsidRDefault="0036365A" w:rsidP="00A02EA3">
      <w:pPr>
        <w:pStyle w:val="a4"/>
        <w:numPr>
          <w:ilvl w:val="0"/>
          <w:numId w:val="12"/>
        </w:numPr>
        <w:spacing w:afterLines="50" w:after="156" w:line="0" w:lineRule="atLeast"/>
        <w:ind w:firstLineChars="0"/>
        <w:outlineLvl w:val="1"/>
        <w:rPr>
          <w:rFonts w:ascii="KaiTi" w:eastAsia="KaiTi" w:hAnsi="KaiTi"/>
          <w:b/>
        </w:rPr>
      </w:pPr>
      <w:bookmarkStart w:id="12" w:name="_Toc228187427"/>
      <w:r w:rsidRPr="00A02EA3">
        <w:rPr>
          <w:rFonts w:ascii="KaiTi" w:eastAsia="KaiTi" w:hAnsi="KaiTi"/>
          <w:b/>
        </w:rPr>
        <w:t>税收体系和制度</w:t>
      </w:r>
      <w:bookmarkEnd w:id="12"/>
      <w:r w:rsidRPr="00A02EA3">
        <w:rPr>
          <w:rFonts w:ascii="KaiTi" w:eastAsia="KaiTi" w:hAnsi="KaiTi"/>
          <w:b/>
        </w:rPr>
        <w:t xml:space="preserve"> </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新加坡按属地原则征税。任何人（包括公司和个人）在新加坡发生或来源于</w:t>
      </w:r>
      <w:r w:rsidRPr="004853F4">
        <w:rPr>
          <w:rFonts w:ascii="KaiTi" w:eastAsia="KaiTi" w:hAnsi="KaiTi" w:hint="eastAsia"/>
          <w:sz w:val="24"/>
        </w:rPr>
        <w:lastRenderedPageBreak/>
        <w:t>新加坡的收入，或在新加坡取得或被视为在新加坡取得的收入，都属于新加坡的应税收入，需要在新加坡纳税。也就是说，即使是发生于或来源于新加坡之外的收入，只要是在新加坡取得，就需要在新加坡纳税。另外，在新加坡收到的境外赚取的收入也须缴纳所得税，有税务豁免的除外（如：股息、分公司利润、服务收入等）。</w:t>
      </w:r>
    </w:p>
    <w:p w:rsidR="0036365A" w:rsidRPr="004853F4" w:rsidRDefault="0036365A" w:rsidP="00A02EA3">
      <w:pPr>
        <w:pStyle w:val="a4"/>
        <w:numPr>
          <w:ilvl w:val="0"/>
          <w:numId w:val="12"/>
        </w:numPr>
        <w:spacing w:afterLines="50" w:after="156" w:line="0" w:lineRule="atLeast"/>
        <w:ind w:firstLineChars="0"/>
        <w:outlineLvl w:val="1"/>
        <w:rPr>
          <w:rFonts w:ascii="KaiTi" w:eastAsia="KaiTi" w:hAnsi="KaiTi"/>
          <w:b/>
        </w:rPr>
      </w:pPr>
      <w:bookmarkStart w:id="13" w:name="_Toc228187428"/>
      <w:r w:rsidRPr="004853F4">
        <w:rPr>
          <w:rFonts w:ascii="KaiTi" w:eastAsia="KaiTi" w:hAnsi="KaiTi"/>
          <w:b/>
        </w:rPr>
        <w:t>主要税种及税率</w:t>
      </w:r>
      <w:bookmarkEnd w:id="13"/>
    </w:p>
    <w:tbl>
      <w:tblPr>
        <w:tblW w:w="4958" w:type="pct"/>
        <w:tblBorders>
          <w:top w:val="single" w:sz="12" w:space="0" w:color="E4CA9C"/>
          <w:left w:val="single" w:sz="12" w:space="0" w:color="E4CA9C"/>
          <w:bottom w:val="single" w:sz="12" w:space="0" w:color="E4CA9C"/>
          <w:right w:val="single" w:sz="12" w:space="0" w:color="E4CA9C"/>
          <w:insideH w:val="single" w:sz="12" w:space="0" w:color="E4CA9C"/>
          <w:insideV w:val="single" w:sz="12" w:space="0" w:color="E4CA9C"/>
        </w:tblBorders>
        <w:tblCellMar>
          <w:left w:w="0" w:type="dxa"/>
          <w:right w:w="0" w:type="dxa"/>
        </w:tblCellMar>
        <w:tblLook w:val="04A0" w:firstRow="1" w:lastRow="0" w:firstColumn="1" w:lastColumn="0" w:noHBand="0" w:noVBand="1"/>
      </w:tblPr>
      <w:tblGrid>
        <w:gridCol w:w="1119"/>
        <w:gridCol w:w="7087"/>
      </w:tblGrid>
      <w:tr w:rsidR="004853F4" w:rsidRPr="004853F4" w:rsidTr="004C5832">
        <w:trPr>
          <w:trHeight w:val="452"/>
        </w:trPr>
        <w:tc>
          <w:tcPr>
            <w:tcW w:w="682" w:type="pct"/>
            <w:tcBorders>
              <w:bottom w:val="single" w:sz="4" w:space="0" w:color="FFFFFF"/>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公司所得税</w:t>
            </w:r>
          </w:p>
        </w:tc>
        <w:tc>
          <w:tcPr>
            <w:tcW w:w="4317"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适用税率为17</w:t>
            </w:r>
            <w:r w:rsidRPr="004853F4">
              <w:rPr>
                <w:rFonts w:ascii="KaiTi" w:eastAsia="KaiTi" w:hAnsi="KaiTi"/>
                <w:spacing w:val="9"/>
                <w:sz w:val="24"/>
              </w:rPr>
              <w:t>%</w:t>
            </w:r>
          </w:p>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自2010估税年度起（即在2010年度缴纳2009财年的所得税）所得税税率调整为17%。2019课税年及以前，应纳税收入的前10万新</w:t>
            </w:r>
            <w:proofErr w:type="gramStart"/>
            <w:r w:rsidRPr="004853F4">
              <w:rPr>
                <w:rFonts w:ascii="KaiTi" w:eastAsia="KaiTi" w:hAnsi="KaiTi" w:hint="eastAsia"/>
                <w:spacing w:val="9"/>
                <w:sz w:val="24"/>
              </w:rPr>
              <w:t>元部分</w:t>
            </w:r>
            <w:proofErr w:type="gramEnd"/>
            <w:r w:rsidRPr="004853F4">
              <w:rPr>
                <w:rFonts w:ascii="KaiTi" w:eastAsia="KaiTi" w:hAnsi="KaiTi" w:hint="eastAsia"/>
                <w:spacing w:val="9"/>
                <w:sz w:val="24"/>
              </w:rPr>
              <w:t>享受75%税收减免，10万-29万新</w:t>
            </w:r>
            <w:proofErr w:type="gramStart"/>
            <w:r w:rsidRPr="004853F4">
              <w:rPr>
                <w:rFonts w:ascii="KaiTi" w:eastAsia="KaiTi" w:hAnsi="KaiTi" w:hint="eastAsia"/>
                <w:spacing w:val="9"/>
                <w:sz w:val="24"/>
              </w:rPr>
              <w:t>元部分</w:t>
            </w:r>
            <w:proofErr w:type="gramEnd"/>
            <w:r w:rsidRPr="004853F4">
              <w:rPr>
                <w:rFonts w:ascii="KaiTi" w:eastAsia="KaiTi" w:hAnsi="KaiTi" w:hint="eastAsia"/>
                <w:spacing w:val="9"/>
                <w:sz w:val="24"/>
              </w:rPr>
              <w:t>享受50%税收减免；2020课税年后，前10万新</w:t>
            </w:r>
            <w:proofErr w:type="gramStart"/>
            <w:r w:rsidRPr="004853F4">
              <w:rPr>
                <w:rFonts w:ascii="KaiTi" w:eastAsia="KaiTi" w:hAnsi="KaiTi" w:hint="eastAsia"/>
                <w:spacing w:val="9"/>
                <w:sz w:val="24"/>
              </w:rPr>
              <w:t>元部分</w:t>
            </w:r>
            <w:proofErr w:type="gramEnd"/>
            <w:r w:rsidRPr="004853F4">
              <w:rPr>
                <w:rFonts w:ascii="KaiTi" w:eastAsia="KaiTi" w:hAnsi="KaiTi" w:hint="eastAsia"/>
                <w:spacing w:val="9"/>
                <w:sz w:val="24"/>
              </w:rPr>
              <w:t>享受75%税收减免，10万-19万新</w:t>
            </w:r>
            <w:proofErr w:type="gramStart"/>
            <w:r w:rsidRPr="004853F4">
              <w:rPr>
                <w:rFonts w:ascii="KaiTi" w:eastAsia="KaiTi" w:hAnsi="KaiTi" w:hint="eastAsia"/>
                <w:spacing w:val="9"/>
                <w:sz w:val="24"/>
              </w:rPr>
              <w:t>元部分</w:t>
            </w:r>
            <w:proofErr w:type="gramEnd"/>
            <w:r w:rsidRPr="004853F4">
              <w:rPr>
                <w:rFonts w:ascii="KaiTi" w:eastAsia="KaiTi" w:hAnsi="KaiTi" w:hint="eastAsia"/>
                <w:spacing w:val="9"/>
                <w:sz w:val="24"/>
              </w:rPr>
              <w:t>享受50%的税收减免</w:t>
            </w:r>
          </w:p>
        </w:tc>
      </w:tr>
      <w:tr w:rsidR="004853F4" w:rsidRPr="004853F4" w:rsidTr="004C5832">
        <w:trPr>
          <w:trHeight w:val="452"/>
        </w:trPr>
        <w:tc>
          <w:tcPr>
            <w:tcW w:w="682" w:type="pct"/>
            <w:tcBorders>
              <w:top w:val="single" w:sz="4" w:space="0" w:color="FFFFFF"/>
              <w:bottom w:val="single" w:sz="4" w:space="0" w:color="FFFFFF"/>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个人所得税</w:t>
            </w:r>
          </w:p>
        </w:tc>
        <w:tc>
          <w:tcPr>
            <w:tcW w:w="4317"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阶梯税率纳税</w:t>
            </w:r>
          </w:p>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非居民个人（非居民董事除外）的受雇所得适用15%税率和居民个人所得税税率两者间较高者。非居民董事的受雇所得和非居民个人的其他所得，税率为22%</w:t>
            </w:r>
          </w:p>
        </w:tc>
      </w:tr>
      <w:tr w:rsidR="004853F4" w:rsidRPr="004853F4" w:rsidTr="004C5832">
        <w:trPr>
          <w:trHeight w:val="452"/>
        </w:trPr>
        <w:tc>
          <w:tcPr>
            <w:tcW w:w="682" w:type="pct"/>
            <w:tcBorders>
              <w:top w:val="single" w:sz="4" w:space="0" w:color="FFFFFF"/>
              <w:bottom w:val="single" w:sz="4" w:space="0" w:color="FFFFFF"/>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消费税</w:t>
            </w:r>
          </w:p>
        </w:tc>
        <w:tc>
          <w:tcPr>
            <w:tcW w:w="4317"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适用税率为8</w:t>
            </w:r>
            <w:r w:rsidRPr="004853F4">
              <w:rPr>
                <w:rFonts w:ascii="KaiTi" w:eastAsia="KaiTi" w:hAnsi="KaiTi"/>
                <w:spacing w:val="9"/>
                <w:sz w:val="24"/>
              </w:rPr>
              <w:t>%</w:t>
            </w:r>
          </w:p>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出口商品和服务被归为国际服务，消费税为0%；出售和租赁无家具的住宅物业、进口和本地供应贵重金属的投资、金融服务豁免消费税；商品在海外进行销售、私人交易等不适用消费税</w:t>
            </w:r>
          </w:p>
        </w:tc>
      </w:tr>
      <w:tr w:rsidR="004853F4" w:rsidRPr="004853F4" w:rsidTr="004C5832">
        <w:trPr>
          <w:trHeight w:val="452"/>
        </w:trPr>
        <w:tc>
          <w:tcPr>
            <w:tcW w:w="682" w:type="pct"/>
            <w:tcBorders>
              <w:top w:val="single" w:sz="4" w:space="0" w:color="FFFFFF"/>
              <w:bottom w:val="single" w:sz="4" w:space="0" w:color="FFFFFF"/>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房地产税</w:t>
            </w:r>
          </w:p>
        </w:tc>
        <w:tc>
          <w:tcPr>
            <w:tcW w:w="4317"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适用税率为10</w:t>
            </w:r>
            <w:r w:rsidRPr="004853F4">
              <w:rPr>
                <w:rFonts w:ascii="KaiTi" w:eastAsia="KaiTi" w:hAnsi="KaiTi"/>
                <w:spacing w:val="9"/>
                <w:sz w:val="24"/>
              </w:rPr>
              <w:t>%</w:t>
            </w:r>
          </w:p>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房地产税按年缴纳，每年1月份缴纳全年的房地产税，纳税基数为不动产的年值。不动产的年值是根据不动产的年租金收入估计的</w:t>
            </w:r>
          </w:p>
        </w:tc>
      </w:tr>
      <w:tr w:rsidR="004853F4" w:rsidRPr="004853F4" w:rsidTr="004C5832">
        <w:trPr>
          <w:trHeight w:val="452"/>
        </w:trPr>
        <w:tc>
          <w:tcPr>
            <w:tcW w:w="682" w:type="pct"/>
            <w:tcBorders>
              <w:top w:val="single" w:sz="4" w:space="0" w:color="FFFFFF"/>
              <w:bottom w:val="single" w:sz="4" w:space="0" w:color="FFFFFF"/>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印花税</w:t>
            </w:r>
          </w:p>
        </w:tc>
        <w:tc>
          <w:tcPr>
            <w:tcW w:w="4317"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按照签署的不同类型的文件适用的税率不同</w:t>
            </w:r>
          </w:p>
        </w:tc>
      </w:tr>
      <w:tr w:rsidR="004853F4" w:rsidRPr="004853F4" w:rsidTr="004C5832">
        <w:trPr>
          <w:trHeight w:val="452"/>
        </w:trPr>
        <w:tc>
          <w:tcPr>
            <w:tcW w:w="682" w:type="pct"/>
            <w:tcBorders>
              <w:top w:val="single" w:sz="4" w:space="0" w:color="FFFFFF"/>
              <w:bottom w:val="single" w:sz="4" w:space="0" w:color="FFFFFF"/>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proofErr w:type="gramStart"/>
            <w:r w:rsidRPr="004853F4">
              <w:rPr>
                <w:rFonts w:ascii="KaiTi" w:eastAsia="KaiTi" w:hAnsi="KaiTi" w:hint="eastAsia"/>
                <w:b/>
                <w:spacing w:val="9"/>
                <w:sz w:val="24"/>
              </w:rPr>
              <w:t>数字税</w:t>
            </w:r>
            <w:proofErr w:type="gramEnd"/>
          </w:p>
        </w:tc>
        <w:tc>
          <w:tcPr>
            <w:tcW w:w="4317"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适用税率为8</w:t>
            </w:r>
            <w:r w:rsidRPr="004853F4">
              <w:rPr>
                <w:rFonts w:ascii="KaiTi" w:eastAsia="KaiTi" w:hAnsi="KaiTi"/>
                <w:spacing w:val="9"/>
                <w:sz w:val="24"/>
              </w:rPr>
              <w:t>%</w:t>
            </w:r>
          </w:p>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自2020年1月1日起，在全球年营业额超过100万新元的海外数字服务提供商，如在12个月内向新加坡客户销售价值超过10万新元的数字服务，必须在新加坡消费税系统注册并缴纳8%消费税</w:t>
            </w:r>
          </w:p>
        </w:tc>
      </w:tr>
      <w:tr w:rsidR="004853F4" w:rsidRPr="004853F4" w:rsidTr="004C5832">
        <w:trPr>
          <w:trHeight w:val="452"/>
        </w:trPr>
        <w:tc>
          <w:tcPr>
            <w:tcW w:w="682" w:type="pct"/>
            <w:tcBorders>
              <w:top w:val="single" w:sz="4" w:space="0" w:color="FFFFFF"/>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碳</w:t>
            </w:r>
            <w:proofErr w:type="gramStart"/>
            <w:r w:rsidRPr="004853F4">
              <w:rPr>
                <w:rFonts w:ascii="KaiTi" w:eastAsia="KaiTi" w:hAnsi="KaiTi" w:hint="eastAsia"/>
                <w:b/>
                <w:spacing w:val="9"/>
                <w:sz w:val="24"/>
              </w:rPr>
              <w:t>排放税</w:t>
            </w:r>
            <w:proofErr w:type="gramEnd"/>
          </w:p>
        </w:tc>
        <w:tc>
          <w:tcPr>
            <w:tcW w:w="4317" w:type="pct"/>
            <w:shd w:val="clear" w:color="auto" w:fill="auto"/>
            <w:tcMar>
              <w:top w:w="15" w:type="dxa"/>
              <w:left w:w="15" w:type="dxa"/>
              <w:bottom w:w="0" w:type="dxa"/>
              <w:right w:w="15" w:type="dxa"/>
            </w:tcMar>
            <w:vAlign w:val="center"/>
          </w:tcPr>
          <w:p w:rsidR="0036365A" w:rsidRPr="004853F4" w:rsidRDefault="0036365A" w:rsidP="0036365A">
            <w:pPr>
              <w:widowControl/>
              <w:numPr>
                <w:ilvl w:val="0"/>
                <w:numId w:val="6"/>
              </w:numPr>
              <w:tabs>
                <w:tab w:val="left" w:pos="270"/>
              </w:tabs>
              <w:spacing w:line="0" w:lineRule="atLeast"/>
              <w:ind w:left="270" w:rightChars="54" w:right="113" w:hanging="270"/>
              <w:rPr>
                <w:rFonts w:ascii="KaiTi" w:eastAsia="KaiTi" w:hAnsi="KaiTi"/>
                <w:spacing w:val="9"/>
                <w:sz w:val="24"/>
              </w:rPr>
            </w:pPr>
            <w:r w:rsidRPr="004853F4">
              <w:rPr>
                <w:rFonts w:ascii="KaiTi" w:eastAsia="KaiTi" w:hAnsi="KaiTi" w:hint="eastAsia"/>
                <w:spacing w:val="9"/>
                <w:sz w:val="24"/>
              </w:rPr>
              <w:t>碳</w:t>
            </w:r>
            <w:proofErr w:type="gramStart"/>
            <w:r w:rsidRPr="004853F4">
              <w:rPr>
                <w:rFonts w:ascii="KaiTi" w:eastAsia="KaiTi" w:hAnsi="KaiTi" w:hint="eastAsia"/>
                <w:spacing w:val="9"/>
                <w:sz w:val="24"/>
              </w:rPr>
              <w:t>排放税</w:t>
            </w:r>
            <w:proofErr w:type="gramEnd"/>
            <w:r w:rsidRPr="004853F4">
              <w:rPr>
                <w:rFonts w:ascii="KaiTi" w:eastAsia="KaiTi" w:hAnsi="KaiTi" w:hint="eastAsia"/>
                <w:spacing w:val="9"/>
                <w:sz w:val="24"/>
              </w:rPr>
              <w:t>税率为每吨温室气体5新元</w:t>
            </w:r>
          </w:p>
        </w:tc>
      </w:tr>
    </w:tbl>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14" w:name="_Toc228187429"/>
      <w:r w:rsidRPr="00A02EA3">
        <w:rPr>
          <w:rFonts w:ascii="楷体" w:eastAsia="楷体" w:hAnsi="楷体" w:cs="楷体" w:hint="eastAsia"/>
          <w:b/>
          <w:sz w:val="28"/>
          <w:szCs w:val="28"/>
          <w:u w:color="000000"/>
          <w:bdr w:val="nil"/>
        </w:rPr>
        <w:t>数字经济与</w:t>
      </w:r>
      <w:r w:rsidRPr="00A02EA3">
        <w:rPr>
          <w:rFonts w:ascii="楷体" w:eastAsia="楷体" w:hAnsi="楷体" w:cs="楷体"/>
          <w:b/>
          <w:sz w:val="28"/>
          <w:szCs w:val="28"/>
          <w:u w:color="000000"/>
          <w:bdr w:val="nil"/>
        </w:rPr>
        <w:t>数据保护</w:t>
      </w:r>
      <w:bookmarkEnd w:id="14"/>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新加坡设立个人数据保护委员会（PDPC）</w:t>
      </w:r>
      <w:r w:rsidRPr="004853F4">
        <w:rPr>
          <w:rFonts w:ascii="KaiTi" w:eastAsia="KaiTi" w:hAnsi="KaiTi"/>
          <w:sz w:val="24"/>
        </w:rPr>
        <w:t>作为</w:t>
      </w:r>
      <w:r w:rsidRPr="004853F4">
        <w:rPr>
          <w:rFonts w:ascii="KaiTi" w:eastAsia="KaiTi" w:hAnsi="KaiTi" w:hint="eastAsia"/>
          <w:sz w:val="24"/>
        </w:rPr>
        <w:t>政府层面的个人</w:t>
      </w:r>
      <w:r w:rsidRPr="004853F4">
        <w:rPr>
          <w:rFonts w:ascii="KaiTi" w:eastAsia="KaiTi" w:hAnsi="KaiTi"/>
          <w:sz w:val="24"/>
        </w:rPr>
        <w:t>数据保护</w:t>
      </w:r>
      <w:r w:rsidRPr="004853F4">
        <w:rPr>
          <w:rFonts w:ascii="KaiTi" w:eastAsia="KaiTi" w:hAnsi="KaiTi" w:hint="eastAsia"/>
          <w:sz w:val="24"/>
        </w:rPr>
        <w:t>监管</w:t>
      </w:r>
      <w:r w:rsidRPr="004853F4">
        <w:rPr>
          <w:rFonts w:ascii="KaiTi" w:eastAsia="KaiTi" w:hAnsi="KaiTi"/>
          <w:sz w:val="24"/>
        </w:rPr>
        <w:t>机构，主要负责</w:t>
      </w:r>
      <w:r w:rsidRPr="004853F4">
        <w:rPr>
          <w:rFonts w:ascii="KaiTi" w:eastAsia="KaiTi" w:hAnsi="KaiTi" w:hint="eastAsia"/>
          <w:sz w:val="24"/>
        </w:rPr>
        <w:t>监管《个人数据保护法</w:t>
      </w:r>
      <w:r w:rsidRPr="004853F4">
        <w:rPr>
          <w:rFonts w:ascii="KaiTi" w:eastAsia="KaiTi" w:hAnsi="KaiTi"/>
          <w:sz w:val="24"/>
        </w:rPr>
        <w:t>》</w:t>
      </w:r>
      <w:r w:rsidRPr="004853F4">
        <w:rPr>
          <w:rFonts w:ascii="KaiTi" w:eastAsia="KaiTi" w:hAnsi="KaiTi" w:hint="eastAsia"/>
          <w:sz w:val="24"/>
        </w:rPr>
        <w:t>（PDP</w:t>
      </w:r>
      <w:r w:rsidRPr="004853F4">
        <w:rPr>
          <w:rFonts w:ascii="KaiTi" w:eastAsia="KaiTi" w:hAnsi="KaiTi" w:hint="eastAsia"/>
          <w:sz w:val="24"/>
          <w:u w:val="single"/>
        </w:rPr>
        <w:t>A</w:t>
      </w:r>
      <w:r w:rsidRPr="004853F4">
        <w:rPr>
          <w:rFonts w:ascii="KaiTi" w:eastAsia="KaiTi" w:hAnsi="KaiTi" w:hint="eastAsia"/>
          <w:sz w:val="24"/>
        </w:rPr>
        <w:t>）</w:t>
      </w:r>
      <w:r w:rsidRPr="004853F4">
        <w:rPr>
          <w:rFonts w:ascii="KaiTi" w:eastAsia="KaiTi" w:hAnsi="KaiTi"/>
          <w:sz w:val="24"/>
        </w:rPr>
        <w:t>和</w:t>
      </w:r>
      <w:r w:rsidRPr="004853F4">
        <w:rPr>
          <w:rFonts w:ascii="KaiTi" w:eastAsia="KaiTi" w:hAnsi="KaiTi" w:hint="eastAsia"/>
          <w:sz w:val="24"/>
        </w:rPr>
        <w:t>新加坡</w:t>
      </w:r>
      <w:r w:rsidRPr="004853F4">
        <w:rPr>
          <w:rFonts w:ascii="KaiTi" w:eastAsia="KaiTi" w:hAnsi="KaiTi"/>
          <w:sz w:val="24"/>
        </w:rPr>
        <w:t>数据保护</w:t>
      </w:r>
      <w:r w:rsidRPr="004853F4">
        <w:rPr>
          <w:rFonts w:ascii="KaiTi" w:eastAsia="KaiTi" w:hAnsi="KaiTi" w:hint="eastAsia"/>
          <w:sz w:val="24"/>
        </w:rPr>
        <w:t>相关法规</w:t>
      </w:r>
      <w:r w:rsidRPr="004853F4">
        <w:rPr>
          <w:rFonts w:ascii="KaiTi" w:eastAsia="KaiTi" w:hAnsi="KaiTi"/>
          <w:sz w:val="24"/>
        </w:rPr>
        <w:t>的执行，</w:t>
      </w:r>
      <w:r w:rsidRPr="004853F4">
        <w:rPr>
          <w:rFonts w:ascii="KaiTi" w:eastAsia="KaiTi" w:hAnsi="KaiTi" w:hint="eastAsia"/>
          <w:sz w:val="24"/>
        </w:rPr>
        <w:t>PDPC会制定并发布个人数据保护相关咨询指南以指导相关组织遵守PDPA并，审查有关组织的个人数据保护措施</w:t>
      </w:r>
      <w:r w:rsidRPr="004853F4">
        <w:rPr>
          <w:rFonts w:ascii="KaiTi" w:eastAsia="KaiTi" w:hAnsi="KaiTi"/>
          <w:sz w:val="24"/>
        </w:rPr>
        <w:t>。</w:t>
      </w:r>
      <w:r w:rsidRPr="004853F4">
        <w:rPr>
          <w:rFonts w:ascii="KaiTi" w:eastAsia="KaiTi" w:hAnsi="KaiTi" w:hint="eastAsia"/>
          <w:sz w:val="24"/>
        </w:rPr>
        <w:t>新加坡</w:t>
      </w:r>
      <w:r w:rsidRPr="004853F4">
        <w:rPr>
          <w:rFonts w:ascii="KaiTi" w:eastAsia="KaiTi" w:hAnsi="KaiTi"/>
          <w:sz w:val="24"/>
        </w:rPr>
        <w:t>数据保护法律体系主要包括：</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lastRenderedPageBreak/>
        <w:t>新加坡议会2018年颁布《网络安全法》，明确加强对关键信息基础设施（CII）的保护，防范网络攻击，涉及CII的行业包括能源、水利、银行和金融、医疗保健、运输（包括陆地、海事和航空）、信息通信、媒体、安全和应急服务以及政府；授权新加坡网络安全局预防和应对网络安全威胁和事件，并且可以根据网络安全威胁或事件的严重程度以及响应所需的措施来调整可行使的权力。</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为保护个人数据不被滥用，2012年新加坡政府出台了《个人数据保护法》（PDPA），该法详细规范了个人的数据保护权利以及企业对于个人数据收集、利用和披露的规范，并发布了一系列条例与指引以推动该法令的执行。</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2020年，新加坡对《个人数据保护法》的重大修改。此次修改将使该法更接近当前的国际标准，允许本地企业在未经事先同意的情况下就出于某些目的（例如业务改进和研究）使用消费者数据。同时，修正案还规定对数据泄露处以更严厉的罚款，最高罚款可以高于先前的100万新元</w:t>
      </w:r>
      <w:r w:rsidRPr="004853F4">
        <w:rPr>
          <w:rFonts w:ascii="KaiTi" w:eastAsia="KaiTi" w:hAnsi="KaiTi"/>
        </w:rPr>
        <w:t>。</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rPr>
        <w:t>其他相关法律：</w:t>
      </w:r>
      <w:r w:rsidRPr="004853F4">
        <w:rPr>
          <w:rFonts w:ascii="KaiTi" w:eastAsia="KaiTi" w:hAnsi="KaiTi" w:hint="eastAsia"/>
        </w:rPr>
        <w:t>PDPC</w:t>
      </w:r>
      <w:r w:rsidRPr="004853F4">
        <w:rPr>
          <w:rFonts w:ascii="KaiTi" w:eastAsia="KaiTi" w:hAnsi="KaiTi"/>
        </w:rPr>
        <w:t>还发布了</w:t>
      </w:r>
      <w:r w:rsidRPr="004853F4">
        <w:rPr>
          <w:rFonts w:ascii="KaiTi" w:eastAsia="KaiTi" w:hAnsi="KaiTi" w:hint="eastAsia"/>
        </w:rPr>
        <w:t>《个人数据保护（谢绝来电登记处）条例》、《个人数据保护（数据泄露通知）条例》、《个人数据保护（违法构成）条例》、《个人数据保护（上诉）条例》及《个人数据保护（执行）条例》</w:t>
      </w:r>
      <w:r w:rsidRPr="004853F4">
        <w:rPr>
          <w:rFonts w:ascii="KaiTi" w:eastAsia="KaiTi" w:hAnsi="KaiTi"/>
        </w:rPr>
        <w:t>等，这些法律在不同领域对个人数据保护提出了具体要求</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w:t>
      </w:r>
      <w:r w:rsidRPr="004853F4">
        <w:rPr>
          <w:rFonts w:ascii="KaiTi" w:eastAsia="KaiTi" w:hAnsi="KaiTi"/>
          <w:sz w:val="24"/>
        </w:rPr>
        <w:t>的</w:t>
      </w:r>
      <w:r w:rsidRPr="004853F4">
        <w:rPr>
          <w:rFonts w:ascii="KaiTi" w:eastAsia="KaiTi" w:hAnsi="KaiTi" w:hint="eastAsia"/>
          <w:sz w:val="24"/>
        </w:rPr>
        <w:t>《个人数据保护法》及其相关细化条例构成了新加坡的个人数据安全保护体系，</w:t>
      </w:r>
      <w:r w:rsidRPr="004853F4">
        <w:rPr>
          <w:rFonts w:ascii="KaiTi" w:eastAsia="KaiTi" w:hAnsi="KaiTi"/>
          <w:sz w:val="24"/>
        </w:rPr>
        <w:t>和中国《个人信息保护法》有着相似的原则与要求</w:t>
      </w:r>
      <w:r w:rsidRPr="004853F4">
        <w:rPr>
          <w:rFonts w:ascii="KaiTi" w:eastAsia="KaiTi" w:hAnsi="KaiTi" w:hint="eastAsia"/>
          <w:sz w:val="24"/>
        </w:rPr>
        <w:t>，同时存在差异</w:t>
      </w:r>
      <w:r w:rsidRPr="004853F4">
        <w:rPr>
          <w:rFonts w:ascii="KaiTi" w:eastAsia="KaiTi" w:hAnsi="KaiTi"/>
          <w:sz w:val="24"/>
        </w:rPr>
        <w:t>，主要包括以下几个方面：</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rPr>
        <w:t>合法性基础：</w:t>
      </w:r>
      <w:r w:rsidRPr="004853F4">
        <w:rPr>
          <w:rFonts w:ascii="KaiTi" w:eastAsia="KaiTi" w:hAnsi="KaiTi" w:hint="eastAsia"/>
        </w:rPr>
        <w:t>个人数据处理的合法性是基于信息主体的同意，除法律规定可以豁免同意和视为同意的场合外，组织收集、使用或披露个人数据原则上需要履行告知义务并取得个人同意。</w:t>
      </w:r>
      <w:proofErr w:type="gramStart"/>
      <w:r w:rsidRPr="004853F4">
        <w:rPr>
          <w:rFonts w:ascii="KaiTi" w:eastAsia="KaiTi" w:hAnsi="KaiTi" w:hint="eastAsia"/>
        </w:rPr>
        <w:t>作出</w:t>
      </w:r>
      <w:proofErr w:type="gramEnd"/>
      <w:r w:rsidRPr="004853F4">
        <w:rPr>
          <w:rFonts w:ascii="KaiTi" w:eastAsia="KaiTi" w:hAnsi="KaiTi" w:hint="eastAsia"/>
        </w:rPr>
        <w:t>同意后，个人也可以随时向组织发出撤回同意的通知。</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数据主体权利：新加坡允许组织以商业改进目的收集、使用、披露个人数据，在满足特定条件时可以豁免当事人同意。中国豁免同意的情况仅包括已公开个人信息和涉及公共利益，商业目的的处理个人信息需要获得权利人明确同意。</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数据处理者义务：</w:t>
      </w:r>
      <w:r w:rsidRPr="004853F4">
        <w:rPr>
          <w:rFonts w:ascii="KaiTi" w:eastAsia="KaiTi" w:hAnsi="KaiTi"/>
        </w:rPr>
        <w:t>数据处理者在处理个人数据时必须遵循一系列义务，包括</w:t>
      </w:r>
      <w:r w:rsidRPr="004853F4">
        <w:rPr>
          <w:rFonts w:ascii="KaiTi" w:eastAsia="KaiTi" w:hAnsi="KaiTi" w:hint="eastAsia"/>
        </w:rPr>
        <w:t>同意义务、目的限制义务、告知义务、保护义务、传输限制义务</w:t>
      </w:r>
      <w:r w:rsidRPr="004853F4">
        <w:rPr>
          <w:rFonts w:ascii="KaiTi" w:eastAsia="KaiTi" w:hAnsi="KaiTi"/>
        </w:rPr>
        <w:t>等</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数据跨境传输：除非根据PDPA相关要求确保接收方对传输的个人数据提供至少与PDPA同等的保护，不得将任何个人数据传输到新加坡以外的国家或地区。组织只有在采取适当措施，确保数据接收方受法律强制义务的约束，对传输的个人数据提供与PDPA同等的保护标准时，才能将个人数据向第三国转移</w:t>
      </w:r>
      <w:r w:rsidRPr="004853F4">
        <w:rPr>
          <w:rFonts w:ascii="KaiTi" w:eastAsia="KaiTi" w:hAnsi="KaiTi"/>
        </w:rPr>
        <w:t>。</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个人数据提供必要性评估：用个人数据进行人工智能开发、测试和监测时，企业必须告知信息主体收集、使用和披露个人数据的目的，并取得个人同意。在人工智能系统开发、测试和监测中，企业可能适用豁免同意的场景为商业改进例外和研究例外。适用商业改进例外时，企业需确</w:t>
      </w:r>
      <w:r w:rsidRPr="004853F4">
        <w:rPr>
          <w:rFonts w:ascii="KaiTi" w:eastAsia="KaiTi" w:hAnsi="KaiTi" w:hint="eastAsia"/>
        </w:rPr>
        <w:lastRenderedPageBreak/>
        <w:t>保个人数据提供的必要性和合理性。适用研究例外时，企业须确保个人数据的提供具有必要性、合理性、公益性。</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任命数据保护官：所有组织内至少设立一名数据保护官（DPO），可以是专职或现有员工兼任，被任命的DPO还可以将某些职责委托给其他员工。</w:t>
      </w:r>
    </w:p>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15" w:name="_Toc228187430"/>
      <w:r w:rsidRPr="00A02EA3">
        <w:rPr>
          <w:rFonts w:ascii="楷体" w:eastAsia="楷体" w:hAnsi="楷体" w:cs="楷体"/>
          <w:b/>
          <w:sz w:val="28"/>
          <w:szCs w:val="28"/>
          <w:u w:color="000000"/>
          <w:bdr w:val="nil"/>
        </w:rPr>
        <w:t>供应链和物流（国际贸易）/进出口管制</w:t>
      </w:r>
      <w:bookmarkEnd w:id="15"/>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新加坡贸易与工业部（Ministry of Trade and Industry, MTI）是新加坡政府直接授权制定有关贸易与工业发展政策的部门。贸工部监管10个法定部门，其中4个涉及具体贸易事务：新加坡竞争委员会（CCCS）、新加坡经济发展局（EDB）、新加坡企业发展局（ESG）和</w:t>
      </w:r>
      <w:proofErr w:type="gramStart"/>
      <w:r w:rsidRPr="004853F4">
        <w:rPr>
          <w:rFonts w:ascii="KaiTi" w:eastAsia="KaiTi" w:hAnsi="KaiTi" w:hint="eastAsia"/>
          <w:sz w:val="24"/>
        </w:rPr>
        <w:t>裕廊</w:t>
      </w:r>
      <w:proofErr w:type="gramEnd"/>
      <w:r w:rsidRPr="004853F4">
        <w:rPr>
          <w:rFonts w:ascii="KaiTi" w:eastAsia="KaiTi" w:hAnsi="KaiTi" w:hint="eastAsia"/>
          <w:sz w:val="24"/>
        </w:rPr>
        <w:t>管理局（JSC）。</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新加坡与贸易相关的主要法律有《商品对外贸易法》《进出口管理办法》《商品服务税法》《竞争法》《海关法》《商务争端法》《自由贸易区法》《商船运输法》《禁止化学武器法》和《战略物资管制法》等</w:t>
      </w:r>
      <w:r w:rsidRPr="004853F4">
        <w:rPr>
          <w:rFonts w:ascii="KaiTi" w:eastAsia="KaiTi" w:hAnsi="KaiTi"/>
          <w:sz w:val="24"/>
        </w:rPr>
        <w:t>。</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开展进出口和转运业务的基本条件包括（1）必须在新加坡组建一家公司，并在新加坡会计与企业管理局注册（查询网址：licences.business.gov.sg，通过在线商业注册服务注册公司）；（2）注册公司后，须向新加坡关税局免费申请中央注册号码。中央注册号码将允许申请人通过贸易网系统提交进出口和转运准证申请。</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贸易交换网（</w:t>
      </w:r>
      <w:proofErr w:type="spellStart"/>
      <w:r w:rsidRPr="004853F4">
        <w:rPr>
          <w:rFonts w:ascii="KaiTi" w:eastAsia="KaiTi" w:hAnsi="KaiTi" w:hint="eastAsia"/>
          <w:sz w:val="24"/>
        </w:rPr>
        <w:t>TradeXchange</w:t>
      </w:r>
      <w:proofErr w:type="spellEnd"/>
      <w:r w:rsidRPr="004853F4">
        <w:rPr>
          <w:rFonts w:ascii="KaiTi" w:eastAsia="KaiTi" w:hAnsi="KaiTi" w:hint="eastAsia"/>
          <w:sz w:val="24"/>
        </w:rPr>
        <w:t>）系统是新加坡全国范围内的贸易电子信息交换系统，能让公共和私营部门在此平台上交换电子贸易数据和信息。一般情况下，在新加坡开展进出口或转运业务必须在贸易交换网上获得相关业务准证。</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新加坡进出口产品政策具体如下：</w:t>
      </w:r>
    </w:p>
    <w:tbl>
      <w:tblPr>
        <w:tblW w:w="5000" w:type="pct"/>
        <w:tblBorders>
          <w:top w:val="single" w:sz="12" w:space="0" w:color="E4CA9C"/>
          <w:left w:val="single" w:sz="12" w:space="0" w:color="E4CA9C"/>
          <w:bottom w:val="single" w:sz="12" w:space="0" w:color="E4CA9C"/>
          <w:right w:val="single" w:sz="12" w:space="0" w:color="E4CA9C"/>
          <w:insideH w:val="single" w:sz="12" w:space="0" w:color="E4CA9C"/>
          <w:insideV w:val="single" w:sz="12" w:space="0" w:color="E4CA9C"/>
        </w:tblBorders>
        <w:tblCellMar>
          <w:left w:w="0" w:type="dxa"/>
          <w:right w:w="0" w:type="dxa"/>
        </w:tblCellMar>
        <w:tblLook w:val="04A0" w:firstRow="1" w:lastRow="0" w:firstColumn="1" w:lastColumn="0" w:noHBand="0" w:noVBand="1"/>
      </w:tblPr>
      <w:tblGrid>
        <w:gridCol w:w="2110"/>
        <w:gridCol w:w="6166"/>
      </w:tblGrid>
      <w:tr w:rsidR="004853F4" w:rsidRPr="004853F4" w:rsidTr="004C5832">
        <w:trPr>
          <w:trHeight w:val="321"/>
        </w:trPr>
        <w:tc>
          <w:tcPr>
            <w:tcW w:w="1275" w:type="pct"/>
            <w:tcBorders>
              <w:right w:val="single" w:sz="12"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bookmarkStart w:id="16" w:name="_Hlk180052675"/>
            <w:r w:rsidRPr="004853F4">
              <w:rPr>
                <w:rFonts w:ascii="KaiTi" w:eastAsia="KaiTi" w:hAnsi="KaiTi" w:hint="eastAsia"/>
                <w:b/>
                <w:spacing w:val="9"/>
                <w:sz w:val="24"/>
              </w:rPr>
              <w:t>事项</w:t>
            </w:r>
          </w:p>
        </w:tc>
        <w:tc>
          <w:tcPr>
            <w:tcW w:w="3724" w:type="pct"/>
            <w:tcBorders>
              <w:left w:val="single" w:sz="12" w:space="0" w:color="FFFFFF" w:themeColor="background1"/>
            </w:tcBorders>
            <w:shd w:val="clear" w:color="auto" w:fill="E4CA9C"/>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具体要求</w:t>
            </w:r>
          </w:p>
        </w:tc>
      </w:tr>
      <w:tr w:rsidR="004853F4" w:rsidRPr="004853F4" w:rsidTr="004C5832">
        <w:trPr>
          <w:trHeight w:val="227"/>
        </w:trPr>
        <w:tc>
          <w:tcPr>
            <w:tcW w:w="1275"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货物进口</w:t>
            </w:r>
          </w:p>
        </w:tc>
        <w:tc>
          <w:tcPr>
            <w:tcW w:w="3724"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货物进口到新加坡前，进口商需通过贸易交换网向新加坡关税局提交</w:t>
            </w:r>
          </w:p>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准证申请。如符合有关规定，新加坡关税局将向进口商签发新加坡进口证书和交货确认书，以保证货物真正进口到新加坡，没有被转移或出口到被禁止的目的地。一般情况下，所有进口货物都要缴纳消费税。如果进口货物是受管制的货物，必须向相关主管部门提交准证申请并获得批准。</w:t>
            </w:r>
          </w:p>
        </w:tc>
      </w:tr>
      <w:tr w:rsidR="004853F4" w:rsidRPr="004853F4" w:rsidTr="004C5832">
        <w:trPr>
          <w:trHeight w:val="311"/>
        </w:trPr>
        <w:tc>
          <w:tcPr>
            <w:tcW w:w="1275"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货物出口</w:t>
            </w:r>
          </w:p>
        </w:tc>
        <w:tc>
          <w:tcPr>
            <w:tcW w:w="3724"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非受管制货物通过海运或空运出口，必须在出口之后3天内，通过贸</w:t>
            </w:r>
          </w:p>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易交换网提交准证申请。受管制货物，或非受管制货物通过公路和铁路出口的，需要在出口之前通过贸易交换网提交准证申请。出口受管制货物还必须事先取得相关主管机构的批准或许可。</w:t>
            </w:r>
          </w:p>
        </w:tc>
      </w:tr>
      <w:tr w:rsidR="004853F4" w:rsidRPr="004853F4" w:rsidTr="004C5832">
        <w:trPr>
          <w:trHeight w:val="169"/>
        </w:trPr>
        <w:tc>
          <w:tcPr>
            <w:tcW w:w="1275" w:type="pct"/>
            <w:shd w:val="clear" w:color="auto" w:fill="auto"/>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货物转运</w:t>
            </w:r>
          </w:p>
        </w:tc>
        <w:tc>
          <w:tcPr>
            <w:tcW w:w="3724"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所有从一个自由贸易区转运至另一个自由贸易区的货物，或在同一个</w:t>
            </w:r>
          </w:p>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自由贸易区内转运受主管部门管制的货物，必须事先</w:t>
            </w:r>
            <w:r w:rsidRPr="004853F4">
              <w:rPr>
                <w:rFonts w:ascii="KaiTi" w:eastAsia="KaiTi" w:hAnsi="KaiTi" w:hint="eastAsia"/>
                <w:spacing w:val="9"/>
                <w:sz w:val="24"/>
              </w:rPr>
              <w:lastRenderedPageBreak/>
              <w:t>通过贸易交换网取得有效的转运准证才能将货物装载到运输工具上。</w:t>
            </w:r>
          </w:p>
        </w:tc>
      </w:tr>
      <w:bookmarkEnd w:id="16"/>
    </w:tbl>
    <w:p w:rsidR="0036365A" w:rsidRPr="004853F4" w:rsidRDefault="0036365A" w:rsidP="0036365A">
      <w:pPr>
        <w:spacing w:beforeLines="25" w:before="78" w:afterLines="25" w:after="78" w:line="0" w:lineRule="atLeast"/>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此外，新加坡对进口商品检验检疫的标准和程序十分严格，针对不同类型商品设立了对应的机构负责检验检疫，具体如下：</w:t>
      </w:r>
    </w:p>
    <w:tbl>
      <w:tblPr>
        <w:tblW w:w="5000" w:type="pct"/>
        <w:tblBorders>
          <w:top w:val="single" w:sz="12" w:space="0" w:color="E4CA9C"/>
          <w:left w:val="single" w:sz="12" w:space="0" w:color="E4CA9C"/>
          <w:bottom w:val="single" w:sz="12" w:space="0" w:color="E4CA9C"/>
          <w:right w:val="single" w:sz="12" w:space="0" w:color="E4CA9C"/>
          <w:insideH w:val="single" w:sz="12" w:space="0" w:color="E4CA9C"/>
          <w:insideV w:val="single" w:sz="12" w:space="0" w:color="E4CA9C"/>
        </w:tblBorders>
        <w:tblCellMar>
          <w:left w:w="0" w:type="dxa"/>
          <w:right w:w="0" w:type="dxa"/>
        </w:tblCellMar>
        <w:tblLook w:val="04A0" w:firstRow="1" w:lastRow="0" w:firstColumn="1" w:lastColumn="0" w:noHBand="0" w:noVBand="1"/>
      </w:tblPr>
      <w:tblGrid>
        <w:gridCol w:w="4060"/>
        <w:gridCol w:w="4216"/>
      </w:tblGrid>
      <w:tr w:rsidR="004853F4" w:rsidRPr="004853F4" w:rsidTr="004C5832">
        <w:trPr>
          <w:trHeight w:val="321"/>
        </w:trPr>
        <w:tc>
          <w:tcPr>
            <w:tcW w:w="2453" w:type="pct"/>
            <w:tcBorders>
              <w:right w:val="single" w:sz="12" w:space="0" w:color="FFFFFF" w:themeColor="background1"/>
            </w:tcBorders>
            <w:shd w:val="clear" w:color="auto" w:fill="E4CA9C"/>
            <w:tcMar>
              <w:top w:w="15" w:type="dxa"/>
              <w:left w:w="15" w:type="dxa"/>
              <w:bottom w:w="0" w:type="dxa"/>
              <w:right w:w="15" w:type="dxa"/>
            </w:tcMar>
            <w:vAlign w:val="center"/>
          </w:tcPr>
          <w:p w:rsidR="0036365A" w:rsidRPr="004853F4" w:rsidRDefault="0036365A" w:rsidP="004C5832">
            <w:pPr>
              <w:spacing w:line="0" w:lineRule="atLeast"/>
              <w:jc w:val="center"/>
              <w:rPr>
                <w:rFonts w:ascii="KaiTi" w:eastAsia="KaiTi" w:hAnsi="KaiTi"/>
                <w:b/>
                <w:spacing w:val="9"/>
                <w:sz w:val="24"/>
              </w:rPr>
            </w:pPr>
            <w:bookmarkStart w:id="17" w:name="_Hlk180052733"/>
            <w:r w:rsidRPr="004853F4">
              <w:rPr>
                <w:rFonts w:ascii="KaiTi" w:eastAsia="KaiTi" w:hAnsi="KaiTi" w:hint="eastAsia"/>
                <w:b/>
                <w:spacing w:val="9"/>
                <w:sz w:val="24"/>
              </w:rPr>
              <w:t>事项</w:t>
            </w:r>
          </w:p>
        </w:tc>
        <w:tc>
          <w:tcPr>
            <w:tcW w:w="2547" w:type="pct"/>
            <w:tcBorders>
              <w:left w:val="single" w:sz="12" w:space="0" w:color="FFFFFF" w:themeColor="background1"/>
            </w:tcBorders>
            <w:shd w:val="clear" w:color="auto" w:fill="E4CA9C"/>
            <w:vAlign w:val="center"/>
          </w:tcPr>
          <w:p w:rsidR="0036365A" w:rsidRPr="004853F4" w:rsidRDefault="0036365A" w:rsidP="004C5832">
            <w:pPr>
              <w:spacing w:line="0" w:lineRule="atLeast"/>
              <w:jc w:val="center"/>
              <w:rPr>
                <w:rFonts w:ascii="KaiTi" w:eastAsia="KaiTi" w:hAnsi="KaiTi"/>
                <w:b/>
                <w:spacing w:val="9"/>
                <w:sz w:val="24"/>
              </w:rPr>
            </w:pPr>
            <w:r w:rsidRPr="004853F4">
              <w:rPr>
                <w:rFonts w:ascii="KaiTi" w:eastAsia="KaiTi" w:hAnsi="KaiTi" w:hint="eastAsia"/>
                <w:b/>
                <w:spacing w:val="9"/>
                <w:sz w:val="24"/>
              </w:rPr>
              <w:t>主管部门</w:t>
            </w:r>
          </w:p>
        </w:tc>
      </w:tr>
      <w:tr w:rsidR="004853F4" w:rsidRPr="004853F4" w:rsidTr="004C5832">
        <w:trPr>
          <w:trHeight w:val="227"/>
        </w:trPr>
        <w:tc>
          <w:tcPr>
            <w:tcW w:w="2453"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农产品和食品检验（农产品和食品的进口商须向SFA申请，获得进口执照后才能在新加坡从事农产品和食品进口业务，SFA定期检验所有进口食品）</w:t>
            </w:r>
          </w:p>
        </w:tc>
        <w:tc>
          <w:tcPr>
            <w:tcW w:w="2547"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新加坡食品局（Singapore Food Agency）</w:t>
            </w:r>
          </w:p>
        </w:tc>
      </w:tr>
      <w:tr w:rsidR="004853F4" w:rsidRPr="004853F4" w:rsidTr="004C5832">
        <w:trPr>
          <w:trHeight w:val="311"/>
        </w:trPr>
        <w:tc>
          <w:tcPr>
            <w:tcW w:w="2453"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动物检疫（所有进入新加坡的动物都必须接受AVS的检查）</w:t>
            </w:r>
          </w:p>
        </w:tc>
        <w:tc>
          <w:tcPr>
            <w:tcW w:w="2547"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新加坡动物和兽医服务局（Animal &amp;</w:t>
            </w:r>
          </w:p>
          <w:p w:rsidR="0036365A" w:rsidRPr="004853F4" w:rsidRDefault="0036365A" w:rsidP="004C5832">
            <w:pPr>
              <w:spacing w:line="0" w:lineRule="atLeast"/>
              <w:ind w:leftChars="50" w:left="105" w:rightChars="50" w:right="105"/>
              <w:rPr>
                <w:rFonts w:ascii="KaiTi" w:eastAsia="KaiTi" w:hAnsi="KaiTi"/>
                <w:spacing w:val="9"/>
                <w:sz w:val="24"/>
              </w:rPr>
            </w:pPr>
            <w:r w:rsidRPr="004853F4">
              <w:rPr>
                <w:rFonts w:ascii="KaiTi" w:eastAsia="KaiTi" w:hAnsi="KaiTi" w:hint="eastAsia"/>
                <w:spacing w:val="9"/>
                <w:sz w:val="24"/>
              </w:rPr>
              <w:t>Veterinary Service）</w:t>
            </w:r>
          </w:p>
        </w:tc>
      </w:tr>
      <w:tr w:rsidR="004853F4" w:rsidRPr="004853F4" w:rsidTr="004C5832">
        <w:trPr>
          <w:trHeight w:val="169"/>
        </w:trPr>
        <w:tc>
          <w:tcPr>
            <w:tcW w:w="2453"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植物检疫（携带植物入境需提供输出国出具的植物检疫证书，得到国家公园局许可，并接受入境后的检查、隔离或采样。受《华盛顿公约》（CITES）保护的濒临绝种植物，必须备有CITES的许可证方可进口）</w:t>
            </w:r>
          </w:p>
        </w:tc>
        <w:tc>
          <w:tcPr>
            <w:tcW w:w="2547"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新加坡国家公园局（National Parks）</w:t>
            </w:r>
          </w:p>
        </w:tc>
      </w:tr>
      <w:tr w:rsidR="004853F4" w:rsidRPr="004853F4" w:rsidTr="004C5832">
        <w:trPr>
          <w:trHeight w:val="169"/>
        </w:trPr>
        <w:tc>
          <w:tcPr>
            <w:tcW w:w="2453"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药品、化妆品检验（进口药品和化妆品前，需向HSA如实申报其成分、疗效等相关信息）</w:t>
            </w:r>
          </w:p>
        </w:tc>
        <w:tc>
          <w:tcPr>
            <w:tcW w:w="2547" w:type="pct"/>
            <w:shd w:val="clear" w:color="auto" w:fill="auto"/>
            <w:tcMar>
              <w:top w:w="15" w:type="dxa"/>
              <w:left w:w="15" w:type="dxa"/>
              <w:bottom w:w="0" w:type="dxa"/>
              <w:right w:w="15" w:type="dxa"/>
            </w:tcMar>
            <w:vAlign w:val="center"/>
          </w:tcPr>
          <w:p w:rsidR="0036365A" w:rsidRPr="004853F4" w:rsidRDefault="0036365A" w:rsidP="004C5832">
            <w:pPr>
              <w:spacing w:line="0" w:lineRule="atLeast"/>
              <w:ind w:leftChars="45" w:left="94" w:rightChars="38" w:right="80"/>
              <w:rPr>
                <w:rFonts w:ascii="KaiTi" w:eastAsia="KaiTi" w:hAnsi="KaiTi"/>
                <w:spacing w:val="9"/>
                <w:sz w:val="24"/>
              </w:rPr>
            </w:pPr>
            <w:r w:rsidRPr="004853F4">
              <w:rPr>
                <w:rFonts w:ascii="KaiTi" w:eastAsia="KaiTi" w:hAnsi="KaiTi" w:hint="eastAsia"/>
                <w:spacing w:val="9"/>
                <w:sz w:val="24"/>
              </w:rPr>
              <w:t>新加坡卫生科学（Health Science Authority）</w:t>
            </w:r>
          </w:p>
        </w:tc>
      </w:tr>
    </w:tbl>
    <w:p w:rsidR="0036365A" w:rsidRPr="00A02EA3" w:rsidRDefault="0036365A" w:rsidP="00A02EA3">
      <w:pPr>
        <w:pStyle w:val="a4"/>
        <w:numPr>
          <w:ilvl w:val="0"/>
          <w:numId w:val="14"/>
        </w:numPr>
        <w:spacing w:before="156" w:after="156"/>
        <w:ind w:firstLineChars="0"/>
        <w:jc w:val="both"/>
        <w:outlineLvl w:val="0"/>
        <w:rPr>
          <w:rFonts w:ascii="楷体" w:eastAsia="楷体" w:hAnsi="楷体" w:cs="楷体"/>
          <w:b/>
          <w:sz w:val="28"/>
          <w:szCs w:val="28"/>
          <w:u w:color="000000"/>
          <w:bdr w:val="nil"/>
        </w:rPr>
      </w:pPr>
      <w:bookmarkStart w:id="18" w:name="_Toc228187431"/>
      <w:bookmarkEnd w:id="17"/>
      <w:r w:rsidRPr="00A02EA3">
        <w:rPr>
          <w:rFonts w:ascii="楷体" w:eastAsia="楷体" w:hAnsi="楷体" w:cs="楷体"/>
          <w:b/>
          <w:sz w:val="28"/>
          <w:szCs w:val="28"/>
          <w:u w:color="000000"/>
          <w:bdr w:val="nil"/>
        </w:rPr>
        <w:t>环境保护</w:t>
      </w:r>
      <w:bookmarkEnd w:id="18"/>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永续发展和环境部（MSE）是新加坡的政府部门之一，负责保障新加坡维持干净、可持续发展环境，以及水和安全食物供应。该部门成立于1972年。下设三个法定管理部门：国家环境局（NEA）、公用事业局（PUB）和新加坡食品局（SFA）。</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国家环境局负责改善与维持新加坡清洁和绿色环境。国家环境局策划并牵头开展各种环保措施和计划；公用事业局是新加坡的国家水</w:t>
      </w:r>
      <w:proofErr w:type="gramStart"/>
      <w:r w:rsidRPr="004853F4">
        <w:rPr>
          <w:rFonts w:ascii="KaiTi" w:eastAsia="KaiTi" w:hAnsi="KaiTi" w:hint="eastAsia"/>
          <w:sz w:val="24"/>
        </w:rPr>
        <w:t>务</w:t>
      </w:r>
      <w:proofErr w:type="gramEnd"/>
      <w:r w:rsidRPr="004853F4">
        <w:rPr>
          <w:rFonts w:ascii="KaiTi" w:eastAsia="KaiTi" w:hAnsi="KaiTi" w:hint="eastAsia"/>
          <w:sz w:val="24"/>
        </w:rPr>
        <w:t>机关，负责综合管理新加坡的供水、集水和废水；新加坡食品局负责保障新加坡的安全食品供应，整合了由新加坡前农业食品和兽医局、国家环境局和卫生科学局等单位与食品相关的职能。</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新加坡政府要求所有建设工程、制造业和其他工程的开展需要依法取得许可，以确保其符合《环境法》</w:t>
      </w:r>
      <w:r w:rsidRPr="004853F4">
        <w:rPr>
          <w:rFonts w:ascii="KaiTi" w:eastAsia="KaiTi" w:hAnsi="KaiTi"/>
          <w:sz w:val="24"/>
        </w:rPr>
        <w:t>。</w:t>
      </w:r>
      <w:r w:rsidRPr="004853F4">
        <w:rPr>
          <w:rFonts w:ascii="KaiTi" w:eastAsia="KaiTi" w:hAnsi="KaiTi" w:hint="eastAsia"/>
          <w:sz w:val="24"/>
        </w:rPr>
        <w:t>根据新加坡政府的要求，企业在新加坡开展投资项目，业主须委托有资质的第三</w:t>
      </w:r>
      <w:proofErr w:type="gramStart"/>
      <w:r w:rsidRPr="004853F4">
        <w:rPr>
          <w:rFonts w:ascii="KaiTi" w:eastAsia="KaiTi" w:hAnsi="KaiTi" w:hint="eastAsia"/>
          <w:sz w:val="24"/>
        </w:rPr>
        <w:t>方咨询</w:t>
      </w:r>
      <w:proofErr w:type="gramEnd"/>
      <w:r w:rsidRPr="004853F4">
        <w:rPr>
          <w:rFonts w:ascii="KaiTi" w:eastAsia="KaiTi" w:hAnsi="KaiTi" w:hint="eastAsia"/>
          <w:sz w:val="24"/>
        </w:rPr>
        <w:t>公司进行污染控制研究分析（</w:t>
      </w:r>
      <w:proofErr w:type="spellStart"/>
      <w:r w:rsidRPr="004853F4">
        <w:rPr>
          <w:rFonts w:ascii="KaiTi" w:eastAsia="KaiTi" w:hAnsi="KaiTi" w:hint="eastAsia"/>
          <w:sz w:val="24"/>
        </w:rPr>
        <w:t>Polution</w:t>
      </w:r>
      <w:proofErr w:type="spellEnd"/>
      <w:r w:rsidRPr="004853F4">
        <w:rPr>
          <w:rFonts w:ascii="KaiTi" w:eastAsia="KaiTi" w:hAnsi="KaiTi" w:hint="eastAsia"/>
          <w:sz w:val="24"/>
        </w:rPr>
        <w:t xml:space="preserve"> Control Studies，PCS），相当于国内的环评。PCS主要是对工厂产生的三废、噪声、危险化学品等情况，识别可能存在的风险，以及采取的控制措施。开展PCS前期，业主需向咨询公司提供相关资料；咨询公司完成分析报告后，由业主提交新加坡国家环境局审批，审批周期约为2至3个月，审批过程中，国家环境局可能提出问</w:t>
      </w:r>
      <w:r w:rsidRPr="004853F4">
        <w:rPr>
          <w:rFonts w:ascii="KaiTi" w:eastAsia="KaiTi" w:hAnsi="KaiTi" w:hint="eastAsia"/>
          <w:sz w:val="24"/>
        </w:rPr>
        <w:lastRenderedPageBreak/>
        <w:t>题要求进行解释和澄清；评估费用通常为2万新元</w:t>
      </w:r>
      <w:r w:rsidRPr="004853F4">
        <w:rPr>
          <w:rFonts w:ascii="KaiTi" w:eastAsia="KaiTi" w:hAnsi="KaiTi"/>
          <w:sz w:val="24"/>
        </w:rPr>
        <w:t>。</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以制造行业为例，中国出海企业</w:t>
      </w:r>
      <w:r w:rsidRPr="004853F4">
        <w:rPr>
          <w:rFonts w:ascii="KaiTi" w:eastAsia="KaiTi" w:hAnsi="KaiTi"/>
        </w:rPr>
        <w:t>需遵守</w:t>
      </w:r>
      <w:r w:rsidRPr="004853F4">
        <w:rPr>
          <w:rFonts w:ascii="KaiTi" w:eastAsia="KaiTi" w:hAnsi="KaiTi" w:hint="eastAsia"/>
        </w:rPr>
        <w:t>新加坡</w:t>
      </w:r>
      <w:r w:rsidRPr="004853F4">
        <w:rPr>
          <w:rFonts w:ascii="KaiTi" w:eastAsia="KaiTi" w:hAnsi="KaiTi"/>
        </w:rPr>
        <w:t>的环保法规，实施清洁生产技术，以减少废水、废气和固体废物的排放。</w:t>
      </w:r>
      <w:r w:rsidRPr="004853F4">
        <w:rPr>
          <w:rFonts w:ascii="KaiTi" w:eastAsia="KaiTi" w:hAnsi="KaiTi" w:hint="eastAsia"/>
        </w:rPr>
        <w:t>企业开展在空气中散布污染物的工业必须安装特别设备，以确保散发出来的气体符合国家标准。在工业污水处置方面，规定对工业废水的排放进行污染控制的方法有两种：（1）制定工业废水排放标准，允许自行处理后达标排放；（2）监测排水口，防止污染。在生产废水排放口安装自动监测装置，超标排放时，闸门自动关闭，非新加坡国家环境局人员无法启动闸门</w:t>
      </w:r>
      <w:r w:rsidRPr="004853F4">
        <w:rPr>
          <w:rFonts w:ascii="KaiTi" w:eastAsia="KaiTi" w:hAnsi="KaiTi"/>
        </w:rPr>
        <w:t>。</w:t>
      </w:r>
    </w:p>
    <w:p w:rsidR="0036365A" w:rsidRPr="004853F4" w:rsidRDefault="0036365A" w:rsidP="0036365A">
      <w:pPr>
        <w:pStyle w:val="a4"/>
        <w:numPr>
          <w:ilvl w:val="0"/>
          <w:numId w:val="8"/>
        </w:numPr>
        <w:spacing w:beforeLines="25" w:before="78" w:afterLines="25" w:after="78" w:line="0" w:lineRule="atLeast"/>
        <w:ind w:firstLineChars="0"/>
        <w:jc w:val="both"/>
        <w:rPr>
          <w:rFonts w:ascii="KaiTi" w:eastAsia="KaiTi" w:hAnsi="KaiTi"/>
        </w:rPr>
      </w:pPr>
      <w:r w:rsidRPr="004853F4">
        <w:rPr>
          <w:rFonts w:ascii="KaiTi" w:eastAsia="KaiTi" w:hAnsi="KaiTi" w:hint="eastAsia"/>
        </w:rPr>
        <w:t>以能源行业为例，新加坡</w:t>
      </w:r>
      <w:r w:rsidRPr="004853F4">
        <w:rPr>
          <w:rFonts w:ascii="KaiTi" w:eastAsia="KaiTi" w:hAnsi="KaiTi"/>
        </w:rPr>
        <w:t>政府高度重视清洁能源</w:t>
      </w:r>
      <w:r w:rsidRPr="004853F4">
        <w:rPr>
          <w:rFonts w:ascii="KaiTi" w:eastAsia="KaiTi" w:hAnsi="KaiTi" w:hint="eastAsia"/>
        </w:rPr>
        <w:t>和</w:t>
      </w:r>
      <w:proofErr w:type="gramStart"/>
      <w:r w:rsidRPr="004853F4">
        <w:rPr>
          <w:rFonts w:ascii="KaiTi" w:eastAsia="KaiTi" w:hAnsi="KaiTi" w:hint="eastAsia"/>
        </w:rPr>
        <w:t>可</w:t>
      </w:r>
      <w:proofErr w:type="gramEnd"/>
      <w:r w:rsidRPr="004853F4">
        <w:rPr>
          <w:rFonts w:ascii="KaiTi" w:eastAsia="KaiTi" w:hAnsi="KaiTi" w:hint="eastAsia"/>
        </w:rPr>
        <w:t>持续能源</w:t>
      </w:r>
      <w:r w:rsidRPr="004853F4">
        <w:rPr>
          <w:rFonts w:ascii="KaiTi" w:eastAsia="KaiTi" w:hAnsi="KaiTi"/>
        </w:rPr>
        <w:t>的</w:t>
      </w:r>
      <w:r w:rsidRPr="004853F4">
        <w:rPr>
          <w:rFonts w:ascii="KaiTi" w:eastAsia="KaiTi" w:hAnsi="KaiTi" w:hint="eastAsia"/>
        </w:rPr>
        <w:t>使用</w:t>
      </w:r>
      <w:r w:rsidRPr="004853F4">
        <w:rPr>
          <w:rFonts w:ascii="KaiTi" w:eastAsia="KaiTi" w:hAnsi="KaiTi"/>
        </w:rPr>
        <w:t>，</w:t>
      </w:r>
      <w:r w:rsidRPr="004853F4">
        <w:rPr>
          <w:rFonts w:ascii="KaiTi" w:eastAsia="KaiTi" w:hAnsi="KaiTi" w:hint="eastAsia"/>
        </w:rPr>
        <w:t>2021年2月10日，新加坡政府公布《2030年新加坡绿色发展蓝图》，为城市绿化、可持续生活和绿色经济各方</w:t>
      </w:r>
      <w:proofErr w:type="gramStart"/>
      <w:r w:rsidRPr="004853F4">
        <w:rPr>
          <w:rFonts w:ascii="KaiTi" w:eastAsia="KaiTi" w:hAnsi="KaiTi" w:hint="eastAsia"/>
        </w:rPr>
        <w:t>面制定</w:t>
      </w:r>
      <w:proofErr w:type="gramEnd"/>
      <w:r w:rsidRPr="004853F4">
        <w:rPr>
          <w:rFonts w:ascii="KaiTi" w:eastAsia="KaiTi" w:hAnsi="KaiTi" w:hint="eastAsia"/>
        </w:rPr>
        <w:t>明确目标，希望推动公共领域、企业和个人在未来10年朝永续发展的目标迈进。近年来，由于化工产业和柴油车辆导致二氧化硫和PM2.5浓度超标，新加坡政府决定逐步收紧车辆和燃油的排放标准，国家环境局从2012年8月24日起，每天3次公布PM2.5浓度。中国出海新加坡的能源企业还需建立完善的环保管理体系和监测机制，以确保生产经营活动符合新加坡环保标准和要求。</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t>新加坡与环境保护相关的主要法律法规包括：</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《环境保护和管理法》（Environmental Protection and Management Act）</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《公共环境卫生法》（Environmental Public Health Act）</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《危险废物（出口、进口和传播控制）法》（Hazardous Waste (Control of Export, Import and Transit) Act）</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《辐射防护法》（Radiation Protection Act）</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《能源节约法案2012年版》（Energy Conservation Act 2012）</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《跨境烟霾污染法案2014年版》（Transboundary Haze Pollution Act 2014）</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《环境保护和管理（工厂周围噪音限制）法令》（Environmental Protection and Management (Boundary Noise Limits for Factory Premises) Regulations）</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《公共环境卫生（有毒工业废物）法令》（Environmental Public Health (Toxic Industrial Waste) Regulations）</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 xml:space="preserve">《环境保护和管理（施工场地噪音限制）法令》（Environmental Protection and Management (Control of Noise at </w:t>
      </w:r>
      <w:proofErr w:type="spellStart"/>
      <w:r w:rsidRPr="004853F4">
        <w:rPr>
          <w:rFonts w:ascii="KaiTi" w:eastAsia="KaiTi" w:hAnsi="KaiTi" w:hint="eastAsia"/>
          <w:sz w:val="24"/>
        </w:rPr>
        <w:t>ConstructionSites</w:t>
      </w:r>
      <w:proofErr w:type="spellEnd"/>
      <w:r w:rsidRPr="004853F4">
        <w:rPr>
          <w:rFonts w:ascii="KaiTi" w:eastAsia="KaiTi" w:hAnsi="KaiTi" w:hint="eastAsia"/>
          <w:sz w:val="24"/>
        </w:rPr>
        <w:t>) Regulations）</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《环境保护和管理（危险物质）法令》（Environmental Protection and Management (Hazardous Substances) Regulations）</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《环境保护和管理（工商业污水）法令》（Environmental Protection and Management (Trade Effluent) Regulations）</w:t>
      </w:r>
    </w:p>
    <w:p w:rsidR="0036365A" w:rsidRPr="004853F4" w:rsidRDefault="0036365A" w:rsidP="0036365A">
      <w:pPr>
        <w:widowControl/>
        <w:numPr>
          <w:ilvl w:val="0"/>
          <w:numId w:val="11"/>
        </w:numPr>
        <w:spacing w:beforeLines="25" w:before="78" w:afterLines="25" w:after="78" w:line="0" w:lineRule="atLeast"/>
        <w:rPr>
          <w:rFonts w:ascii="KaiTi" w:eastAsia="KaiTi" w:hAnsi="KaiTi"/>
          <w:sz w:val="24"/>
        </w:rPr>
      </w:pPr>
      <w:r w:rsidRPr="004853F4">
        <w:rPr>
          <w:rFonts w:ascii="KaiTi" w:eastAsia="KaiTi" w:hAnsi="KaiTi" w:hint="eastAsia"/>
          <w:sz w:val="24"/>
        </w:rPr>
        <w:t>《环境保护和管理（大气污染物）法令》（Environmental Protection and Management (Air Impurities) Regulations）</w:t>
      </w:r>
    </w:p>
    <w:p w:rsidR="0036365A" w:rsidRPr="004853F4" w:rsidRDefault="0036365A" w:rsidP="0036365A">
      <w:pPr>
        <w:spacing w:before="156" w:after="156"/>
        <w:ind w:leftChars="177" w:left="372"/>
        <w:rPr>
          <w:rFonts w:ascii="KaiTi" w:eastAsia="KaiTi" w:hAnsi="KaiTi"/>
          <w:b/>
          <w:sz w:val="24"/>
        </w:rPr>
      </w:pPr>
      <w:r w:rsidRPr="004853F4">
        <w:rPr>
          <w:rFonts w:ascii="KaiTi" w:eastAsia="KaiTi" w:hAnsi="KaiTi"/>
          <w:b/>
          <w:sz w:val="24"/>
        </w:rPr>
        <w:t>结语：</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hint="eastAsia"/>
          <w:sz w:val="24"/>
        </w:rPr>
        <w:lastRenderedPageBreak/>
        <w:t>新加坡具有良好的投资环境，主要体现在：政治社会稳定、区位优势明显、营商环境优越及实行外资准入国民待遇；新加坡的外资企业新设注册手续简便，数字经济发展基础较好，中新有经贸交往及合作基础，互为重要贸易投资合作伙伴</w:t>
      </w:r>
      <w:r w:rsidRPr="004853F4">
        <w:rPr>
          <w:rFonts w:ascii="KaiTi" w:eastAsia="KaiTi" w:hAnsi="KaiTi"/>
          <w:sz w:val="24"/>
        </w:rPr>
        <w:t>。本系列将分多篇文章介绍欧盟、美国、新加坡等国家和地区在企业出海方面涉及的政策与法规，旨在为拟出海的中国企业提供投资指南与实用建议，助力其成功开拓国际市场。</w:t>
      </w: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noProof/>
          <w:sz w:val="24"/>
        </w:rPr>
        <mc:AlternateContent>
          <mc:Choice Requires="wps">
            <w:drawing>
              <wp:anchor distT="0" distB="0" distL="114300" distR="114300" simplePos="0" relativeHeight="251660288" behindDoc="0" locked="0" layoutInCell="1" allowOverlap="1" wp14:anchorId="339FEFED" wp14:editId="19C41571">
                <wp:simplePos x="0" y="0"/>
                <wp:positionH relativeFrom="margin">
                  <wp:posOffset>-5963</wp:posOffset>
                </wp:positionH>
                <wp:positionV relativeFrom="paragraph">
                  <wp:posOffset>171368</wp:posOffset>
                </wp:positionV>
                <wp:extent cx="5240655" cy="1534602"/>
                <wp:effectExtent l="19050" t="19050" r="17145" b="27940"/>
                <wp:wrapNone/>
                <wp:docPr id="12" name="矩形: 圆角 12"/>
                <wp:cNvGraphicFramePr/>
                <a:graphic xmlns:a="http://schemas.openxmlformats.org/drawingml/2006/main">
                  <a:graphicData uri="http://schemas.microsoft.com/office/word/2010/wordprocessingShape">
                    <wps:wsp>
                      <wps:cNvSpPr/>
                      <wps:spPr>
                        <a:xfrm>
                          <a:off x="0" y="0"/>
                          <a:ext cx="5240655" cy="1534602"/>
                        </a:xfrm>
                        <a:prstGeom prst="roundRect">
                          <a:avLst/>
                        </a:prstGeom>
                        <a:ln w="28575">
                          <a:solidFill>
                            <a:srgbClr val="E4CA9C"/>
                          </a:solidFill>
                        </a:ln>
                      </wps:spPr>
                      <wps:style>
                        <a:lnRef idx="2">
                          <a:schemeClr val="accent1"/>
                        </a:lnRef>
                        <a:fillRef idx="1">
                          <a:schemeClr val="lt1"/>
                        </a:fillRef>
                        <a:effectRef idx="0">
                          <a:schemeClr val="accent1"/>
                        </a:effectRef>
                        <a:fontRef idx="minor">
                          <a:schemeClr val="dk1"/>
                        </a:fontRef>
                      </wps:style>
                      <wps:txbx>
                        <w:txbxContent>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新加坡政府官方网站：</w:t>
                            </w:r>
                            <w:r w:rsidRPr="00082622">
                              <w:rPr>
                                <w:rFonts w:ascii="Microsoft YaHei UI" w:eastAsia="Microsoft YaHei UI" w:hAnsi="Microsoft YaHei UI"/>
                                <w:b/>
                                <w:color w:val="7C6755"/>
                                <w:spacing w:val="9"/>
                                <w:sz w:val="20"/>
                                <w:szCs w:val="20"/>
                              </w:rPr>
                              <w:t>www. 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新加坡外交部：</w:t>
                            </w:r>
                            <w:r w:rsidRPr="00082622">
                              <w:rPr>
                                <w:rFonts w:ascii="Microsoft YaHei UI" w:eastAsia="Microsoft YaHei UI" w:hAnsi="Microsoft YaHei UI"/>
                                <w:b/>
                                <w:color w:val="7C6755"/>
                                <w:spacing w:val="9"/>
                                <w:sz w:val="20"/>
                                <w:szCs w:val="20"/>
                              </w:rPr>
                              <w:t>www.mfa.gov.sg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新加坡经济发展局：</w:t>
                            </w:r>
                            <w:r w:rsidRPr="00082622">
                              <w:rPr>
                                <w:rFonts w:ascii="Microsoft YaHei UI" w:eastAsia="Microsoft YaHei UI" w:hAnsi="Microsoft YaHei UI"/>
                                <w:b/>
                                <w:color w:val="7C6755"/>
                                <w:spacing w:val="9"/>
                                <w:sz w:val="20"/>
                                <w:szCs w:val="20"/>
                              </w:rPr>
                              <w:t>www.edb.gov.sg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新加坡企业发展局：</w:t>
                            </w:r>
                            <w:r w:rsidRPr="00082622">
                              <w:rPr>
                                <w:rFonts w:ascii="Microsoft YaHei UI" w:eastAsia="Microsoft YaHei UI" w:hAnsi="Microsoft YaHei UI"/>
                                <w:b/>
                                <w:color w:val="7C6755"/>
                                <w:spacing w:val="9"/>
                                <w:sz w:val="20"/>
                                <w:szCs w:val="20"/>
                              </w:rPr>
                              <w:t>www.enterprisesg.gov.sg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新加坡统计局：</w:t>
                            </w:r>
                            <w:r w:rsidRPr="00082622">
                              <w:rPr>
                                <w:rFonts w:ascii="Microsoft YaHei UI" w:eastAsia="Microsoft YaHei UI" w:hAnsi="Microsoft YaHei UI"/>
                                <w:b/>
                                <w:color w:val="7C6755"/>
                                <w:spacing w:val="9"/>
                                <w:sz w:val="20"/>
                                <w:szCs w:val="20"/>
                              </w:rPr>
                              <w:t>www.singstat.gov.sg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新加坡律政部：</w:t>
                            </w:r>
                            <w:r w:rsidRPr="00082622">
                              <w:rPr>
                                <w:rFonts w:ascii="Microsoft YaHei UI" w:eastAsia="Microsoft YaHei UI" w:hAnsi="Microsoft YaHei UI"/>
                                <w:b/>
                                <w:color w:val="7C6755"/>
                                <w:spacing w:val="9"/>
                                <w:sz w:val="20"/>
                                <w:szCs w:val="20"/>
                              </w:rPr>
                              <w:t>www.minlaw.gov.sg</w:t>
                            </w:r>
                          </w:p>
                          <w:p w:rsidR="004C5832" w:rsidRDefault="004C5832" w:rsidP="0036365A">
                            <w:pPr>
                              <w:spacing w:line="0" w:lineRule="atLeast"/>
                              <w:ind w:leftChars="59" w:left="124"/>
                              <w:rPr>
                                <w:rFonts w:ascii="Microsoft YaHei UI" w:eastAsia="Microsoft YaHei UI" w:hAnsi="Microsoft YaHei UI"/>
                                <w:bCs/>
                                <w:sz w:val="20"/>
                                <w:szCs w:val="20"/>
                              </w:rPr>
                            </w:pPr>
                          </w:p>
                        </w:txbxContent>
                      </wps:txbx>
                      <wps:bodyPr wrap="square" rtlCol="0" anchor="t">
                        <a:noAutofit/>
                      </wps:bodyPr>
                    </wps:wsp>
                  </a:graphicData>
                </a:graphic>
                <wp14:sizeRelV relativeFrom="margin">
                  <wp14:pctHeight>0</wp14:pctHeight>
                </wp14:sizeRelV>
              </wp:anchor>
            </w:drawing>
          </mc:Choice>
          <mc:Fallback>
            <w:pict>
              <v:roundrect w14:anchorId="339FEFED" id="矩形: 圆角 12" o:spid="_x0000_s1034" style="position:absolute;left:0;text-align:left;margin-left:-.45pt;margin-top:13.5pt;width:412.65pt;height:120.8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" fillcolor="white [3201]" strokecolor="#e4ca9c" strokeweight="2.25pt">
                <v:stroke joinstyle="miter"/>
                <v:textbox>
                  <w:txbxContent>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新加坡政府官方网站：</w:t>
                      </w:r>
                      <w:r w:rsidRPr="00082622">
                        <w:rPr>
                          <w:rFonts w:ascii="Microsoft YaHei UI" w:eastAsia="Microsoft YaHei UI" w:hAnsi="Microsoft YaHei UI"/>
                          <w:b/>
                          <w:color w:val="7C6755"/>
                          <w:spacing w:val="9"/>
                          <w:sz w:val="20"/>
                          <w:szCs w:val="20"/>
                        </w:rPr>
                        <w:t>www. 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新加坡外交部：</w:t>
                      </w:r>
                      <w:r w:rsidRPr="00082622">
                        <w:rPr>
                          <w:rFonts w:ascii="Microsoft YaHei UI" w:eastAsia="Microsoft YaHei UI" w:hAnsi="Microsoft YaHei UI"/>
                          <w:b/>
                          <w:color w:val="7C6755"/>
                          <w:spacing w:val="9"/>
                          <w:sz w:val="20"/>
                          <w:szCs w:val="20"/>
                        </w:rPr>
                        <w:t>www.mfa.gov.sg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新加坡经济发展局：</w:t>
                      </w:r>
                      <w:r w:rsidRPr="00082622">
                        <w:rPr>
                          <w:rFonts w:ascii="Microsoft YaHei UI" w:eastAsia="Microsoft YaHei UI" w:hAnsi="Microsoft YaHei UI"/>
                          <w:b/>
                          <w:color w:val="7C6755"/>
                          <w:spacing w:val="9"/>
                          <w:sz w:val="20"/>
                          <w:szCs w:val="20"/>
                        </w:rPr>
                        <w:t>www.edb.gov.sg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新加坡企业发展局：</w:t>
                      </w:r>
                      <w:r w:rsidRPr="00082622">
                        <w:rPr>
                          <w:rFonts w:ascii="Microsoft YaHei UI" w:eastAsia="Microsoft YaHei UI" w:hAnsi="Microsoft YaHei UI"/>
                          <w:b/>
                          <w:color w:val="7C6755"/>
                          <w:spacing w:val="9"/>
                          <w:sz w:val="20"/>
                          <w:szCs w:val="20"/>
                        </w:rPr>
                        <w:t>www.enterprisesg.gov.sg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新加坡统计局：</w:t>
                      </w:r>
                      <w:r w:rsidRPr="00082622">
                        <w:rPr>
                          <w:rFonts w:ascii="Microsoft YaHei UI" w:eastAsia="Microsoft YaHei UI" w:hAnsi="Microsoft YaHei UI"/>
                          <w:b/>
                          <w:color w:val="7C6755"/>
                          <w:spacing w:val="9"/>
                          <w:sz w:val="20"/>
                          <w:szCs w:val="20"/>
                        </w:rPr>
                        <w:t>www.singstat.gov.sg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新加坡律政部：</w:t>
                      </w:r>
                      <w:r w:rsidRPr="00082622">
                        <w:rPr>
                          <w:rFonts w:ascii="Microsoft YaHei UI" w:eastAsia="Microsoft YaHei UI" w:hAnsi="Microsoft YaHei UI"/>
                          <w:b/>
                          <w:color w:val="7C6755"/>
                          <w:spacing w:val="9"/>
                          <w:sz w:val="20"/>
                          <w:szCs w:val="20"/>
                        </w:rPr>
                        <w:t>www.minlaw.gov.sg</w:t>
                      </w:r>
                    </w:p>
                    <w:p w:rsidR="004C5832" w:rsidRDefault="004C5832" w:rsidP="0036365A">
                      <w:pPr>
                        <w:spacing w:line="0" w:lineRule="atLeast"/>
                        <w:ind w:leftChars="59" w:left="124"/>
                        <w:rPr>
                          <w:rFonts w:ascii="Microsoft YaHei UI" w:eastAsia="Microsoft YaHei UI" w:hAnsi="Microsoft YaHei UI"/>
                          <w:bCs/>
                          <w:sz w:val="20"/>
                          <w:szCs w:val="20"/>
                        </w:rPr>
                      </w:pPr>
                    </w:p>
                  </w:txbxContent>
                </v:textbox>
                <w10:wrap anchorx="margin"/>
              </v:roundrect>
            </w:pict>
          </mc:Fallback>
        </mc:AlternateContent>
      </w: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r w:rsidRPr="004853F4">
        <w:rPr>
          <w:rFonts w:ascii="KaiTi" w:eastAsia="KaiTi" w:hAnsi="KaiTi"/>
          <w:noProof/>
          <w:sz w:val="24"/>
        </w:rPr>
        <mc:AlternateContent>
          <mc:Choice Requires="wps">
            <w:drawing>
              <wp:anchor distT="0" distB="0" distL="114300" distR="114300" simplePos="0" relativeHeight="251661312" behindDoc="0" locked="0" layoutInCell="1" allowOverlap="1" wp14:anchorId="12774853" wp14:editId="051E5B71">
                <wp:simplePos x="0" y="0"/>
                <wp:positionH relativeFrom="margin">
                  <wp:posOffset>-13915</wp:posOffset>
                </wp:positionH>
                <wp:positionV relativeFrom="paragraph">
                  <wp:posOffset>66703</wp:posOffset>
                </wp:positionV>
                <wp:extent cx="5240740" cy="1534601"/>
                <wp:effectExtent l="19050" t="19050" r="17145" b="27940"/>
                <wp:wrapNone/>
                <wp:docPr id="13" name="矩形: 圆角 13"/>
                <wp:cNvGraphicFramePr/>
                <a:graphic xmlns:a="http://schemas.openxmlformats.org/drawingml/2006/main">
                  <a:graphicData uri="http://schemas.microsoft.com/office/word/2010/wordprocessingShape">
                    <wps:wsp>
                      <wps:cNvSpPr/>
                      <wps:spPr>
                        <a:xfrm>
                          <a:off x="0" y="0"/>
                          <a:ext cx="5240740" cy="1534601"/>
                        </a:xfrm>
                        <a:prstGeom prst="roundRect">
                          <a:avLst/>
                        </a:prstGeom>
                        <a:ln w="28575">
                          <a:solidFill>
                            <a:srgbClr val="E4CA9C"/>
                          </a:solidFill>
                        </a:ln>
                      </wps:spPr>
                      <wps:style>
                        <a:lnRef idx="2">
                          <a:schemeClr val="accent1"/>
                        </a:lnRef>
                        <a:fillRef idx="1">
                          <a:schemeClr val="lt1"/>
                        </a:fillRef>
                        <a:effectRef idx="0">
                          <a:schemeClr val="accent1"/>
                        </a:effectRef>
                        <a:fontRef idx="minor">
                          <a:schemeClr val="dk1"/>
                        </a:fontRef>
                      </wps:style>
                      <wps:txbx>
                        <w:txbxContent>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新加坡贸易交换网：</w:t>
                            </w:r>
                            <w:r w:rsidRPr="00082622">
                              <w:rPr>
                                <w:rFonts w:ascii="Microsoft YaHei UI" w:eastAsia="Microsoft YaHei UI" w:hAnsi="Microsoft YaHei UI"/>
                                <w:b/>
                                <w:color w:val="7C6755"/>
                                <w:spacing w:val="9"/>
                                <w:sz w:val="20"/>
                                <w:szCs w:val="20"/>
                              </w:rPr>
                              <w:t>www.tradexchange.gov.sg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新加坡食品局：</w:t>
                            </w:r>
                            <w:r w:rsidRPr="00082622">
                              <w:rPr>
                                <w:rFonts w:ascii="Microsoft YaHei UI" w:eastAsia="Microsoft YaHei UI" w:hAnsi="Microsoft YaHei UI"/>
                                <w:b/>
                                <w:color w:val="7C6755"/>
                                <w:spacing w:val="9"/>
                                <w:sz w:val="20"/>
                                <w:szCs w:val="20"/>
                              </w:rPr>
                              <w:t>www.sfa.gov.sg/food-import-export</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b/>
                                <w:color w:val="7C6755"/>
                                <w:spacing w:val="9"/>
                                <w:sz w:val="20"/>
                                <w:szCs w:val="20"/>
                              </w:rPr>
                              <w:t>Singapore Statutes Online：https://sso.agc.gov.sg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新加坡土地管理局：</w:t>
                            </w:r>
                            <w:r w:rsidRPr="00082622">
                              <w:rPr>
                                <w:rFonts w:ascii="Microsoft YaHei UI" w:eastAsia="Microsoft YaHei UI" w:hAnsi="Microsoft YaHei UI"/>
                                <w:b/>
                                <w:color w:val="7C6755"/>
                                <w:spacing w:val="9"/>
                                <w:sz w:val="20"/>
                                <w:szCs w:val="20"/>
                              </w:rPr>
                              <w:t>www.sla.gov.sg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新加坡永续发展和环境部：</w:t>
                            </w:r>
                            <w:r w:rsidRPr="00082622">
                              <w:rPr>
                                <w:rFonts w:ascii="Microsoft YaHei UI" w:eastAsia="Microsoft YaHei UI" w:hAnsi="Microsoft YaHei UI"/>
                                <w:b/>
                                <w:color w:val="7C6755"/>
                                <w:spacing w:val="9"/>
                                <w:sz w:val="20"/>
                                <w:szCs w:val="20"/>
                              </w:rPr>
                              <w:t>https://www.mse.gov.sg/</w:t>
                            </w:r>
                          </w:p>
                          <w:p w:rsidR="004C5832" w:rsidRPr="00082622" w:rsidRDefault="004C5832" w:rsidP="0036365A">
                            <w:pPr>
                              <w:spacing w:line="0" w:lineRule="atLeast"/>
                              <w:ind w:leftChars="59" w:left="124"/>
                              <w:rPr>
                                <w:rFonts w:ascii="Microsoft YaHei UI" w:eastAsia="Microsoft YaHei UI" w:hAnsi="Microsoft YaHei UI"/>
                                <w:b/>
                                <w:bCs/>
                                <w:sz w:val="20"/>
                                <w:szCs w:val="20"/>
                              </w:rPr>
                            </w:pPr>
                            <w:r w:rsidRPr="00082622">
                              <w:rPr>
                                <w:rFonts w:ascii="Microsoft YaHei UI" w:eastAsia="Microsoft YaHei UI" w:hAnsi="Microsoft YaHei UI" w:hint="eastAsia"/>
                                <w:b/>
                                <w:color w:val="7C6755"/>
                                <w:spacing w:val="9"/>
                                <w:sz w:val="20"/>
                                <w:szCs w:val="20"/>
                              </w:rPr>
                              <w:t>新加坡国家环境局：</w:t>
                            </w:r>
                            <w:r w:rsidRPr="00082622">
                              <w:rPr>
                                <w:rFonts w:ascii="Microsoft YaHei UI" w:eastAsia="Microsoft YaHei UI" w:hAnsi="Microsoft YaHei UI"/>
                                <w:b/>
                                <w:color w:val="7C6755"/>
                                <w:spacing w:val="9"/>
                                <w:sz w:val="20"/>
                                <w:szCs w:val="20"/>
                              </w:rPr>
                              <w:t>https://www.nea.gov.sg/</w:t>
                            </w:r>
                          </w:p>
                        </w:txbxContent>
                      </wps:txbx>
                      <wps:bodyPr wrap="square" rtlCol="0" anchor="t">
                        <a:noAutofit/>
                      </wps:bodyPr>
                    </wps:wsp>
                  </a:graphicData>
                </a:graphic>
                <wp14:sizeRelV relativeFrom="margin">
                  <wp14:pctHeight>0</wp14:pctHeight>
                </wp14:sizeRelV>
              </wp:anchor>
            </w:drawing>
          </mc:Choice>
          <mc:Fallback>
            <w:pict>
              <v:roundrect w14:anchorId="12774853" id="矩形: 圆角 13" o:spid="_x0000_s1035" style="position:absolute;left:0;text-align:left;margin-left:-1.1pt;margin-top:5.25pt;width:412.65pt;height:120.8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" fillcolor="white [3201]" strokecolor="#e4ca9c" strokeweight="2.25pt">
                <v:stroke joinstyle="miter"/>
                <v:textbox>
                  <w:txbxContent>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新加坡贸易交换网：</w:t>
                      </w:r>
                      <w:r w:rsidRPr="00082622">
                        <w:rPr>
                          <w:rFonts w:ascii="Microsoft YaHei UI" w:eastAsia="Microsoft YaHei UI" w:hAnsi="Microsoft YaHei UI"/>
                          <w:b/>
                          <w:color w:val="7C6755"/>
                          <w:spacing w:val="9"/>
                          <w:sz w:val="20"/>
                          <w:szCs w:val="20"/>
                        </w:rPr>
                        <w:t>www.tradexchange.gov.sg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新加坡食品局：</w:t>
                      </w:r>
                      <w:r w:rsidRPr="00082622">
                        <w:rPr>
                          <w:rFonts w:ascii="Microsoft YaHei UI" w:eastAsia="Microsoft YaHei UI" w:hAnsi="Microsoft YaHei UI"/>
                          <w:b/>
                          <w:color w:val="7C6755"/>
                          <w:spacing w:val="9"/>
                          <w:sz w:val="20"/>
                          <w:szCs w:val="20"/>
                        </w:rPr>
                        <w:t>www.sfa.gov.sg/food-import-export</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b/>
                          <w:color w:val="7C6755"/>
                          <w:spacing w:val="9"/>
                          <w:sz w:val="20"/>
                          <w:szCs w:val="20"/>
                        </w:rPr>
                        <w:t>Singapore Statutes Online：https://sso.agc.gov.sg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新加坡土地管理局：</w:t>
                      </w:r>
                      <w:r w:rsidRPr="00082622">
                        <w:rPr>
                          <w:rFonts w:ascii="Microsoft YaHei UI" w:eastAsia="Microsoft YaHei UI" w:hAnsi="Microsoft YaHei UI"/>
                          <w:b/>
                          <w:color w:val="7C6755"/>
                          <w:spacing w:val="9"/>
                          <w:sz w:val="20"/>
                          <w:szCs w:val="20"/>
                        </w:rPr>
                        <w:t>www.sla.gov.sg</w:t>
                      </w:r>
                    </w:p>
                    <w:p w:rsidR="004C5832" w:rsidRPr="00082622" w:rsidRDefault="004C5832" w:rsidP="0036365A">
                      <w:pPr>
                        <w:spacing w:line="0" w:lineRule="atLeast"/>
                        <w:ind w:leftChars="59" w:left="124"/>
                        <w:rPr>
                          <w:rFonts w:ascii="Microsoft YaHei UI" w:eastAsia="Microsoft YaHei UI" w:hAnsi="Microsoft YaHei UI"/>
                          <w:b/>
                          <w:color w:val="7C6755"/>
                          <w:spacing w:val="9"/>
                          <w:sz w:val="20"/>
                          <w:szCs w:val="20"/>
                        </w:rPr>
                      </w:pPr>
                      <w:r w:rsidRPr="00082622">
                        <w:rPr>
                          <w:rFonts w:ascii="Microsoft YaHei UI" w:eastAsia="Microsoft YaHei UI" w:hAnsi="Microsoft YaHei UI" w:hint="eastAsia"/>
                          <w:b/>
                          <w:color w:val="7C6755"/>
                          <w:spacing w:val="9"/>
                          <w:sz w:val="20"/>
                          <w:szCs w:val="20"/>
                        </w:rPr>
                        <w:t>新加坡永续发展和环境部：</w:t>
                      </w:r>
                      <w:r w:rsidRPr="00082622">
                        <w:rPr>
                          <w:rFonts w:ascii="Microsoft YaHei UI" w:eastAsia="Microsoft YaHei UI" w:hAnsi="Microsoft YaHei UI"/>
                          <w:b/>
                          <w:color w:val="7C6755"/>
                          <w:spacing w:val="9"/>
                          <w:sz w:val="20"/>
                          <w:szCs w:val="20"/>
                        </w:rPr>
                        <w:t>https://www.mse.gov.sg/</w:t>
                      </w:r>
                    </w:p>
                    <w:p w:rsidR="004C5832" w:rsidRPr="00082622" w:rsidRDefault="004C5832" w:rsidP="0036365A">
                      <w:pPr>
                        <w:spacing w:line="0" w:lineRule="atLeast"/>
                        <w:ind w:leftChars="59" w:left="124"/>
                        <w:rPr>
                          <w:rFonts w:ascii="Microsoft YaHei UI" w:eastAsia="Microsoft YaHei UI" w:hAnsi="Microsoft YaHei UI"/>
                          <w:b/>
                          <w:bCs/>
                          <w:sz w:val="20"/>
                          <w:szCs w:val="20"/>
                        </w:rPr>
                      </w:pPr>
                      <w:r w:rsidRPr="00082622">
                        <w:rPr>
                          <w:rFonts w:ascii="Microsoft YaHei UI" w:eastAsia="Microsoft YaHei UI" w:hAnsi="Microsoft YaHei UI" w:hint="eastAsia"/>
                          <w:b/>
                          <w:color w:val="7C6755"/>
                          <w:spacing w:val="9"/>
                          <w:sz w:val="20"/>
                          <w:szCs w:val="20"/>
                        </w:rPr>
                        <w:t>新加坡国家环境局：</w:t>
                      </w:r>
                      <w:r w:rsidRPr="00082622">
                        <w:rPr>
                          <w:rFonts w:ascii="Microsoft YaHei UI" w:eastAsia="Microsoft YaHei UI" w:hAnsi="Microsoft YaHei UI"/>
                          <w:b/>
                          <w:color w:val="7C6755"/>
                          <w:spacing w:val="9"/>
                          <w:sz w:val="20"/>
                          <w:szCs w:val="20"/>
                        </w:rPr>
                        <w:t>https://www.nea.gov.sg/</w:t>
                      </w:r>
                    </w:p>
                  </w:txbxContent>
                </v:textbox>
                <w10:wrap anchorx="margin"/>
              </v:roundrect>
            </w:pict>
          </mc:Fallback>
        </mc:AlternateContent>
      </w: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p>
    <w:p w:rsidR="0036365A" w:rsidRPr="004853F4" w:rsidRDefault="0036365A" w:rsidP="0036365A">
      <w:pPr>
        <w:spacing w:beforeLines="25" w:before="78" w:afterLines="25" w:after="78" w:line="0" w:lineRule="atLeast"/>
        <w:ind w:firstLineChars="200" w:firstLine="480"/>
        <w:rPr>
          <w:rFonts w:ascii="KaiTi" w:eastAsia="KaiTi" w:hAnsi="KaiTi"/>
          <w:sz w:val="24"/>
        </w:rPr>
      </w:pPr>
      <w:bookmarkStart w:id="19" w:name="_GoBack"/>
      <w:bookmarkEnd w:id="19"/>
    </w:p>
    <w:sectPr w:rsidR="0036365A" w:rsidRPr="004853F4">
      <w:headerReference w:type="default"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686" w:rsidRDefault="00831686" w:rsidP="008C1E54">
      <w:r>
        <w:separator/>
      </w:r>
    </w:p>
  </w:endnote>
  <w:endnote w:type="continuationSeparator" w:id="0">
    <w:p w:rsidR="00831686" w:rsidRDefault="00831686" w:rsidP="008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385855"/>
      <w:docPartObj>
        <w:docPartGallery w:val="Page Numbers (Bottom of Page)"/>
        <w:docPartUnique/>
      </w:docPartObj>
    </w:sdtPr>
    <w:sdtContent>
      <w:sdt>
        <w:sdtPr>
          <w:id w:val="1728636285"/>
          <w:docPartObj>
            <w:docPartGallery w:val="Page Numbers (Top of Page)"/>
            <w:docPartUnique/>
          </w:docPartObj>
        </w:sdtPr>
        <w:sdtContent>
          <w:p w:rsidR="004C5832" w:rsidRDefault="004C5832">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rsidR="004C5832" w:rsidRDefault="004C583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686" w:rsidRDefault="00831686" w:rsidP="008C1E54">
      <w:r>
        <w:separator/>
      </w:r>
    </w:p>
  </w:footnote>
  <w:footnote w:type="continuationSeparator" w:id="0">
    <w:p w:rsidR="00831686" w:rsidRDefault="00831686" w:rsidP="008C1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832" w:rsidRDefault="004C5832">
    <w:pPr>
      <w:pStyle w:val="a5"/>
    </w:pPr>
    <w:r w:rsidRPr="00C8082F">
      <w:rPr>
        <w:noProof/>
      </w:rPr>
      <w:drawing>
        <wp:inline distT="0" distB="0" distL="0" distR="0" wp14:anchorId="76CC3AD5" wp14:editId="13F9E768">
          <wp:extent cx="5274310" cy="62332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4310" cy="623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0.9pt;height:10.9pt" o:bullet="t">
        <v:imagedata r:id="rId1" o:title=""/>
      </v:shape>
    </w:pict>
  </w:numPicBullet>
  <w:abstractNum w:abstractNumId="0" w15:restartNumberingAfterBreak="0">
    <w:nsid w:val="BFFF26F2"/>
    <w:multiLevelType w:val="singleLevel"/>
    <w:tmpl w:val="BFFF26F2"/>
    <w:lvl w:ilvl="0">
      <w:start w:val="1"/>
      <w:numFmt w:val="bullet"/>
      <w:lvlText w:val=""/>
      <w:lvlJc w:val="left"/>
      <w:pPr>
        <w:ind w:left="420" w:hanging="420"/>
      </w:pPr>
      <w:rPr>
        <w:rFonts w:ascii="Wingdings" w:hAnsi="Wingdings" w:hint="default"/>
      </w:rPr>
    </w:lvl>
  </w:abstractNum>
  <w:abstractNum w:abstractNumId="1" w15:restartNumberingAfterBreak="0">
    <w:nsid w:val="E2FE4CC9"/>
    <w:multiLevelType w:val="singleLevel"/>
    <w:tmpl w:val="E2FE4CC9"/>
    <w:lvl w:ilvl="0">
      <w:start w:val="1"/>
      <w:numFmt w:val="bullet"/>
      <w:lvlText w:val=""/>
      <w:lvlJc w:val="left"/>
      <w:pPr>
        <w:ind w:left="420" w:hanging="420"/>
      </w:pPr>
      <w:rPr>
        <w:rFonts w:ascii="Wingdings" w:hAnsi="Wingdings" w:hint="default"/>
      </w:rPr>
    </w:lvl>
  </w:abstractNum>
  <w:abstractNum w:abstractNumId="2" w15:restartNumberingAfterBreak="0">
    <w:nsid w:val="E7E7E849"/>
    <w:multiLevelType w:val="singleLevel"/>
    <w:tmpl w:val="E7E7E849"/>
    <w:lvl w:ilvl="0">
      <w:start w:val="1"/>
      <w:numFmt w:val="bullet"/>
      <w:lvlText w:val=""/>
      <w:lvlJc w:val="left"/>
      <w:pPr>
        <w:ind w:left="420" w:hanging="420"/>
      </w:pPr>
      <w:rPr>
        <w:rFonts w:ascii="Wingdings" w:hAnsi="Wingdings" w:hint="default"/>
      </w:rPr>
    </w:lvl>
  </w:abstractNum>
  <w:abstractNum w:abstractNumId="3" w15:restartNumberingAfterBreak="0">
    <w:nsid w:val="F6FD67F0"/>
    <w:multiLevelType w:val="singleLevel"/>
    <w:tmpl w:val="F6FD67F0"/>
    <w:lvl w:ilvl="0">
      <w:start w:val="1"/>
      <w:numFmt w:val="chineseCounting"/>
      <w:suff w:val="nothing"/>
      <w:lvlText w:val="%1、"/>
      <w:lvlJc w:val="left"/>
      <w:rPr>
        <w:rFonts w:hint="eastAsia"/>
      </w:rPr>
    </w:lvl>
  </w:abstractNum>
  <w:abstractNum w:abstractNumId="4" w15:restartNumberingAfterBreak="0">
    <w:nsid w:val="FEB6C89A"/>
    <w:multiLevelType w:val="singleLevel"/>
    <w:tmpl w:val="FEB6C89A"/>
    <w:lvl w:ilvl="0">
      <w:start w:val="1"/>
      <w:numFmt w:val="bullet"/>
      <w:lvlText w:val=""/>
      <w:lvlJc w:val="left"/>
      <w:pPr>
        <w:ind w:left="420" w:hanging="420"/>
      </w:pPr>
      <w:rPr>
        <w:rFonts w:ascii="Wingdings" w:hAnsi="Wingdings" w:hint="default"/>
      </w:rPr>
    </w:lvl>
  </w:abstractNum>
  <w:abstractNum w:abstractNumId="5" w15:restartNumberingAfterBreak="0">
    <w:nsid w:val="19396113"/>
    <w:multiLevelType w:val="multilevel"/>
    <w:tmpl w:val="19396113"/>
    <w:lvl w:ilvl="0">
      <w:start w:val="1"/>
      <w:numFmt w:val="bullet"/>
      <w:lvlText w:val=""/>
      <w:lvlJc w:val="left"/>
      <w:pPr>
        <w:ind w:left="540" w:hanging="420"/>
      </w:pPr>
      <w:rPr>
        <w:rFonts w:ascii="Wingdings" w:hAnsi="Wingdings" w:hint="default"/>
      </w:rPr>
    </w:lvl>
    <w:lvl w:ilvl="1">
      <w:start w:val="1"/>
      <w:numFmt w:val="bullet"/>
      <w:lvlText w:val=""/>
      <w:lvlJc w:val="left"/>
      <w:pPr>
        <w:ind w:left="960" w:hanging="420"/>
      </w:pPr>
      <w:rPr>
        <w:rFonts w:ascii="Wingdings" w:hAnsi="Wingdings" w:hint="default"/>
      </w:rPr>
    </w:lvl>
    <w:lvl w:ilvl="2">
      <w:start w:val="1"/>
      <w:numFmt w:val="bullet"/>
      <w:lvlText w:val=""/>
      <w:lvlJc w:val="left"/>
      <w:pPr>
        <w:ind w:left="1380" w:hanging="420"/>
      </w:pPr>
      <w:rPr>
        <w:rFonts w:ascii="Wingdings" w:hAnsi="Wingdings" w:hint="default"/>
      </w:rPr>
    </w:lvl>
    <w:lvl w:ilvl="3">
      <w:start w:val="1"/>
      <w:numFmt w:val="bullet"/>
      <w:lvlText w:val=""/>
      <w:lvlJc w:val="left"/>
      <w:pPr>
        <w:ind w:left="1800" w:hanging="420"/>
      </w:pPr>
      <w:rPr>
        <w:rFonts w:ascii="Wingdings" w:hAnsi="Wingdings" w:hint="default"/>
      </w:rPr>
    </w:lvl>
    <w:lvl w:ilvl="4">
      <w:start w:val="1"/>
      <w:numFmt w:val="bullet"/>
      <w:lvlText w:val=""/>
      <w:lvlJc w:val="left"/>
      <w:pPr>
        <w:ind w:left="2220" w:hanging="420"/>
      </w:pPr>
      <w:rPr>
        <w:rFonts w:ascii="Wingdings" w:hAnsi="Wingdings" w:hint="default"/>
      </w:rPr>
    </w:lvl>
    <w:lvl w:ilvl="5">
      <w:start w:val="1"/>
      <w:numFmt w:val="bullet"/>
      <w:lvlText w:val=""/>
      <w:lvlJc w:val="left"/>
      <w:pPr>
        <w:ind w:left="2640" w:hanging="420"/>
      </w:pPr>
      <w:rPr>
        <w:rFonts w:ascii="Wingdings" w:hAnsi="Wingdings" w:hint="default"/>
      </w:rPr>
    </w:lvl>
    <w:lvl w:ilvl="6">
      <w:start w:val="1"/>
      <w:numFmt w:val="bullet"/>
      <w:lvlText w:val=""/>
      <w:lvlJc w:val="left"/>
      <w:pPr>
        <w:ind w:left="3060" w:hanging="420"/>
      </w:pPr>
      <w:rPr>
        <w:rFonts w:ascii="Wingdings" w:hAnsi="Wingdings" w:hint="default"/>
      </w:rPr>
    </w:lvl>
    <w:lvl w:ilvl="7">
      <w:start w:val="1"/>
      <w:numFmt w:val="bullet"/>
      <w:lvlText w:val=""/>
      <w:lvlJc w:val="left"/>
      <w:pPr>
        <w:ind w:left="3480" w:hanging="420"/>
      </w:pPr>
      <w:rPr>
        <w:rFonts w:ascii="Wingdings" w:hAnsi="Wingdings" w:hint="default"/>
      </w:rPr>
    </w:lvl>
    <w:lvl w:ilvl="8">
      <w:start w:val="1"/>
      <w:numFmt w:val="bullet"/>
      <w:lvlText w:val=""/>
      <w:lvlJc w:val="left"/>
      <w:pPr>
        <w:ind w:left="3900" w:hanging="420"/>
      </w:pPr>
      <w:rPr>
        <w:rFonts w:ascii="Wingdings" w:hAnsi="Wingdings" w:hint="default"/>
      </w:rPr>
    </w:lvl>
  </w:abstractNum>
  <w:abstractNum w:abstractNumId="6" w15:restartNumberingAfterBreak="0">
    <w:nsid w:val="22467CDD"/>
    <w:multiLevelType w:val="multilevel"/>
    <w:tmpl w:val="22467CD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8DD4FA0"/>
    <w:multiLevelType w:val="multilevel"/>
    <w:tmpl w:val="28DD4FA0"/>
    <w:lvl w:ilvl="0">
      <w:start w:val="1"/>
      <w:numFmt w:val="bullet"/>
      <w:lvlText w:val=""/>
      <w:lvlPicBulletId w:val="0"/>
      <w:lvlJc w:val="left"/>
      <w:pPr>
        <w:ind w:left="856" w:hanging="420"/>
      </w:pPr>
      <w:rPr>
        <w:rFonts w:ascii="Wingdings" w:hAnsi="Wingdings" w:hint="default"/>
      </w:rPr>
    </w:lvl>
    <w:lvl w:ilvl="1">
      <w:start w:val="1"/>
      <w:numFmt w:val="bullet"/>
      <w:lvlText w:val=""/>
      <w:lvlJc w:val="left"/>
      <w:pPr>
        <w:ind w:left="1276" w:hanging="420"/>
      </w:pPr>
      <w:rPr>
        <w:rFonts w:ascii="Wingdings" w:hAnsi="Wingdings" w:hint="default"/>
      </w:rPr>
    </w:lvl>
    <w:lvl w:ilvl="2">
      <w:start w:val="1"/>
      <w:numFmt w:val="bullet"/>
      <w:lvlText w:val=""/>
      <w:lvlJc w:val="left"/>
      <w:pPr>
        <w:ind w:left="1696" w:hanging="420"/>
      </w:pPr>
      <w:rPr>
        <w:rFonts w:ascii="Wingdings" w:hAnsi="Wingdings" w:hint="default"/>
      </w:rPr>
    </w:lvl>
    <w:lvl w:ilvl="3">
      <w:start w:val="1"/>
      <w:numFmt w:val="bullet"/>
      <w:lvlText w:val=""/>
      <w:lvlJc w:val="left"/>
      <w:pPr>
        <w:ind w:left="2116" w:hanging="420"/>
      </w:pPr>
      <w:rPr>
        <w:rFonts w:ascii="Wingdings" w:hAnsi="Wingdings" w:hint="default"/>
      </w:rPr>
    </w:lvl>
    <w:lvl w:ilvl="4">
      <w:start w:val="1"/>
      <w:numFmt w:val="bullet"/>
      <w:lvlText w:val=""/>
      <w:lvlJc w:val="left"/>
      <w:pPr>
        <w:ind w:left="2536" w:hanging="420"/>
      </w:pPr>
      <w:rPr>
        <w:rFonts w:ascii="Wingdings" w:hAnsi="Wingdings" w:hint="default"/>
      </w:rPr>
    </w:lvl>
    <w:lvl w:ilvl="5">
      <w:start w:val="1"/>
      <w:numFmt w:val="bullet"/>
      <w:lvlText w:val=""/>
      <w:lvlJc w:val="left"/>
      <w:pPr>
        <w:ind w:left="2956" w:hanging="420"/>
      </w:pPr>
      <w:rPr>
        <w:rFonts w:ascii="Wingdings" w:hAnsi="Wingdings" w:hint="default"/>
      </w:rPr>
    </w:lvl>
    <w:lvl w:ilvl="6">
      <w:start w:val="1"/>
      <w:numFmt w:val="bullet"/>
      <w:lvlText w:val=""/>
      <w:lvlJc w:val="left"/>
      <w:pPr>
        <w:ind w:left="3376" w:hanging="420"/>
      </w:pPr>
      <w:rPr>
        <w:rFonts w:ascii="Wingdings" w:hAnsi="Wingdings" w:hint="default"/>
      </w:rPr>
    </w:lvl>
    <w:lvl w:ilvl="7">
      <w:start w:val="1"/>
      <w:numFmt w:val="bullet"/>
      <w:lvlText w:val=""/>
      <w:lvlJc w:val="left"/>
      <w:pPr>
        <w:ind w:left="3796" w:hanging="420"/>
      </w:pPr>
      <w:rPr>
        <w:rFonts w:ascii="Wingdings" w:hAnsi="Wingdings" w:hint="default"/>
      </w:rPr>
    </w:lvl>
    <w:lvl w:ilvl="8">
      <w:start w:val="1"/>
      <w:numFmt w:val="bullet"/>
      <w:lvlText w:val=""/>
      <w:lvlJc w:val="left"/>
      <w:pPr>
        <w:ind w:left="4216" w:hanging="420"/>
      </w:pPr>
      <w:rPr>
        <w:rFonts w:ascii="Wingdings" w:hAnsi="Wingdings" w:hint="default"/>
      </w:rPr>
    </w:lvl>
  </w:abstractNum>
  <w:abstractNum w:abstractNumId="8" w15:restartNumberingAfterBreak="0">
    <w:nsid w:val="2EA52452"/>
    <w:multiLevelType w:val="hybridMultilevel"/>
    <w:tmpl w:val="9BA8FE78"/>
    <w:lvl w:ilvl="0" w:tplc="8F704A50">
      <w:start w:val="2"/>
      <w:numFmt w:val="japaneseCounting"/>
      <w:lvlText w:val="%1、"/>
      <w:lvlJc w:val="left"/>
      <w:pPr>
        <w:ind w:left="1138" w:hanging="576"/>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15:restartNumberingAfterBreak="0">
    <w:nsid w:val="3A5D33F8"/>
    <w:multiLevelType w:val="multilevel"/>
    <w:tmpl w:val="3A5D33F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4BF3780D"/>
    <w:multiLevelType w:val="hybridMultilevel"/>
    <w:tmpl w:val="B254D2D0"/>
    <w:lvl w:ilvl="0" w:tplc="9BBE7804">
      <w:start w:val="1"/>
      <w:numFmt w:val="japaneseCounting"/>
      <w:lvlText w:val="（%1）"/>
      <w:lvlJc w:val="left"/>
      <w:pPr>
        <w:ind w:left="1238" w:hanging="756"/>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4C3B4369"/>
    <w:multiLevelType w:val="hybridMultilevel"/>
    <w:tmpl w:val="B8809F6A"/>
    <w:lvl w:ilvl="0" w:tplc="04090017">
      <w:start w:val="1"/>
      <w:numFmt w:val="chineseCountingThousand"/>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726F515A"/>
    <w:multiLevelType w:val="multilevel"/>
    <w:tmpl w:val="726F515A"/>
    <w:lvl w:ilvl="0">
      <w:start w:val="1"/>
      <w:numFmt w:val="lowerLetter"/>
      <w:lvlText w:val="%1."/>
      <w:lvlJc w:val="left"/>
      <w:pPr>
        <w:ind w:left="480" w:hanging="360"/>
      </w:pPr>
      <w:rPr>
        <w:rFonts w:hint="default"/>
      </w:r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abstractNum w:abstractNumId="13" w15:restartNumberingAfterBreak="0">
    <w:nsid w:val="75D81EF1"/>
    <w:multiLevelType w:val="multilevel"/>
    <w:tmpl w:val="C7EA09A8"/>
    <w:lvl w:ilvl="0">
      <w:start w:val="1"/>
      <w:numFmt w:val="chineseCountingThousand"/>
      <w:lvlText w:val="(%1)"/>
      <w:lvlJc w:val="left"/>
      <w:pPr>
        <w:ind w:left="960" w:hanging="48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abstractNumId w:val="1"/>
  </w:num>
  <w:num w:numId="2">
    <w:abstractNumId w:val="3"/>
  </w:num>
  <w:num w:numId="3">
    <w:abstractNumId w:val="2"/>
  </w:num>
  <w:num w:numId="4">
    <w:abstractNumId w:val="13"/>
  </w:num>
  <w:num w:numId="5">
    <w:abstractNumId w:val="0"/>
  </w:num>
  <w:num w:numId="6">
    <w:abstractNumId w:val="6"/>
  </w:num>
  <w:num w:numId="7">
    <w:abstractNumId w:val="7"/>
  </w:num>
  <w:num w:numId="8">
    <w:abstractNumId w:val="9"/>
  </w:num>
  <w:num w:numId="9">
    <w:abstractNumId w:val="5"/>
  </w:num>
  <w:num w:numId="10">
    <w:abstractNumId w:val="12"/>
  </w:num>
  <w:num w:numId="11">
    <w:abstractNumId w:val="4"/>
  </w:num>
  <w:num w:numId="12">
    <w:abstractNumId w:val="1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30"/>
    <w:rsid w:val="000227D1"/>
    <w:rsid w:val="00024F86"/>
    <w:rsid w:val="002C4117"/>
    <w:rsid w:val="0036365A"/>
    <w:rsid w:val="004853F4"/>
    <w:rsid w:val="004C5832"/>
    <w:rsid w:val="005C4E31"/>
    <w:rsid w:val="007B23C8"/>
    <w:rsid w:val="00831686"/>
    <w:rsid w:val="008C1E54"/>
    <w:rsid w:val="00A02EA3"/>
    <w:rsid w:val="00A70328"/>
    <w:rsid w:val="00AC462B"/>
    <w:rsid w:val="00DA1B8A"/>
    <w:rsid w:val="00F01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7AB9"/>
  <w15:chartTrackingRefBased/>
  <w15:docId w15:val="{FC20DEE2-0F96-48A4-AAE3-97EC7C6AE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1A30"/>
    <w:pPr>
      <w:widowControl w:val="0"/>
      <w:jc w:val="both"/>
    </w:pPr>
    <w:rPr>
      <w:rFonts w:ascii="Calibri" w:eastAsia="宋体" w:hAnsi="Calibri" w:cs="Times New Roman"/>
      <w:szCs w:val="24"/>
    </w:rPr>
  </w:style>
  <w:style w:type="paragraph" w:styleId="1">
    <w:name w:val="heading 1"/>
    <w:basedOn w:val="a"/>
    <w:next w:val="a"/>
    <w:link w:val="10"/>
    <w:uiPriority w:val="9"/>
    <w:qFormat/>
    <w:rsid w:val="004C583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70328"/>
    <w:rPr>
      <w:b/>
      <w:bCs/>
    </w:rPr>
  </w:style>
  <w:style w:type="paragraph" w:styleId="a4">
    <w:name w:val="List Paragraph"/>
    <w:basedOn w:val="a"/>
    <w:uiPriority w:val="34"/>
    <w:qFormat/>
    <w:rsid w:val="0036365A"/>
    <w:pPr>
      <w:widowControl/>
      <w:ind w:firstLineChars="200" w:firstLine="420"/>
      <w:jc w:val="left"/>
    </w:pPr>
    <w:rPr>
      <w:rFonts w:ascii="Times New Roman" w:hAnsi="Times New Roman"/>
      <w:bCs/>
      <w:kern w:val="0"/>
      <w:sz w:val="24"/>
    </w:rPr>
  </w:style>
  <w:style w:type="paragraph" w:styleId="a5">
    <w:name w:val="header"/>
    <w:basedOn w:val="a"/>
    <w:link w:val="a6"/>
    <w:uiPriority w:val="99"/>
    <w:unhideWhenUsed/>
    <w:rsid w:val="008C1E5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C1E54"/>
    <w:rPr>
      <w:rFonts w:ascii="Calibri" w:eastAsia="宋体" w:hAnsi="Calibri" w:cs="Times New Roman"/>
      <w:sz w:val="18"/>
      <w:szCs w:val="18"/>
    </w:rPr>
  </w:style>
  <w:style w:type="paragraph" w:styleId="a7">
    <w:name w:val="footer"/>
    <w:basedOn w:val="a"/>
    <w:link w:val="a8"/>
    <w:uiPriority w:val="99"/>
    <w:unhideWhenUsed/>
    <w:rsid w:val="008C1E54"/>
    <w:pPr>
      <w:tabs>
        <w:tab w:val="center" w:pos="4153"/>
        <w:tab w:val="right" w:pos="8306"/>
      </w:tabs>
      <w:snapToGrid w:val="0"/>
      <w:jc w:val="left"/>
    </w:pPr>
    <w:rPr>
      <w:sz w:val="18"/>
      <w:szCs w:val="18"/>
    </w:rPr>
  </w:style>
  <w:style w:type="character" w:customStyle="1" w:styleId="a8">
    <w:name w:val="页脚 字符"/>
    <w:basedOn w:val="a0"/>
    <w:link w:val="a7"/>
    <w:uiPriority w:val="99"/>
    <w:rsid w:val="008C1E54"/>
    <w:rPr>
      <w:rFonts w:ascii="Calibri" w:eastAsia="宋体" w:hAnsi="Calibri" w:cs="Times New Roman"/>
      <w:sz w:val="18"/>
      <w:szCs w:val="18"/>
    </w:rPr>
  </w:style>
  <w:style w:type="character" w:customStyle="1" w:styleId="10">
    <w:name w:val="标题 1 字符"/>
    <w:basedOn w:val="a0"/>
    <w:link w:val="1"/>
    <w:uiPriority w:val="9"/>
    <w:rsid w:val="004C5832"/>
    <w:rPr>
      <w:rFonts w:ascii="Calibri" w:eastAsia="宋体" w:hAnsi="Calibri" w:cs="Times New Roman"/>
      <w:b/>
      <w:bCs/>
      <w:kern w:val="44"/>
      <w:sz w:val="44"/>
      <w:szCs w:val="44"/>
    </w:rPr>
  </w:style>
  <w:style w:type="paragraph" w:styleId="TOC">
    <w:name w:val="TOC Heading"/>
    <w:basedOn w:val="1"/>
    <w:next w:val="a"/>
    <w:uiPriority w:val="39"/>
    <w:unhideWhenUsed/>
    <w:qFormat/>
    <w:rsid w:val="004C583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4C5832"/>
  </w:style>
  <w:style w:type="paragraph" w:styleId="TOC2">
    <w:name w:val="toc 2"/>
    <w:basedOn w:val="a"/>
    <w:next w:val="a"/>
    <w:autoRedefine/>
    <w:uiPriority w:val="39"/>
    <w:unhideWhenUsed/>
    <w:rsid w:val="004C5832"/>
    <w:pPr>
      <w:ind w:leftChars="200" w:left="420"/>
    </w:pPr>
  </w:style>
  <w:style w:type="character" w:styleId="a9">
    <w:name w:val="Hyperlink"/>
    <w:basedOn w:val="a0"/>
    <w:uiPriority w:val="99"/>
    <w:unhideWhenUsed/>
    <w:rsid w:val="004C58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12D64-ADAA-4569-8146-23223FB04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2340</Words>
  <Characters>13338</Characters>
  <Application>Microsoft Office Word</Application>
  <DocSecurity>0</DocSecurity>
  <Lines>111</Lines>
  <Paragraphs>31</Paragraphs>
  <ScaleCrop>false</ScaleCrop>
  <Company/>
  <LinksUpToDate>false</LinksUpToDate>
  <CharactersWithSpaces>15647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dc:creator>
  <cp:keywords/>
  <dc:description/>
  <cp:lastModifiedBy>CM </cp:lastModifiedBy>
  <cp:revision>4</cp:revision>
  <dcterms:created xsi:type="dcterms:W3CDTF">2026-04-27T04:29:00Z</dcterms:created>
  <dcterms:modified xsi:type="dcterms:W3CDTF">2026-04-27T05:05:00Z</dcterms:modified>
</cp:coreProperties>
</file>