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EC38" w14:textId="23965D15" w:rsidR="008B093C" w:rsidRPr="008B093C" w:rsidRDefault="008B093C" w:rsidP="008B093C">
      <w:pPr>
        <w:rPr>
          <w:b/>
          <w:bCs/>
        </w:rPr>
      </w:pPr>
      <w:r w:rsidRPr="008B093C">
        <w:rPr>
          <w:b/>
          <w:bCs/>
        </w:rPr>
        <w:t>乘风破浪，合</w:t>
      </w:r>
      <w:proofErr w:type="gramStart"/>
      <w:r w:rsidRPr="008B093C">
        <w:rPr>
          <w:b/>
          <w:bCs/>
        </w:rPr>
        <w:t>规</w:t>
      </w:r>
      <w:proofErr w:type="gramEnd"/>
      <w:r w:rsidRPr="008B093C">
        <w:rPr>
          <w:b/>
          <w:bCs/>
        </w:rPr>
        <w:t>远航：内地</w:t>
      </w:r>
      <w:proofErr w:type="gramStart"/>
      <w:r w:rsidRPr="008B093C">
        <w:rPr>
          <w:b/>
          <w:bCs/>
        </w:rPr>
        <w:t>资产赴</w:t>
      </w:r>
      <w:proofErr w:type="gramEnd"/>
      <w:r w:rsidRPr="008B093C">
        <w:rPr>
          <w:b/>
          <w:bCs/>
        </w:rPr>
        <w:t>香港RWA发行的机遇与路径指南</w:t>
      </w:r>
    </w:p>
    <w:p w14:paraId="041164DE" w14:textId="25D97CD2" w:rsidR="008B093C" w:rsidRPr="008B093C" w:rsidRDefault="008B093C" w:rsidP="008B093C">
      <w:pPr>
        <w:rPr>
          <w:rFonts w:hint="eastAsia"/>
        </w:rPr>
      </w:pPr>
      <w:r w:rsidRPr="008B093C">
        <w:t>毛嘉、张新月 </w:t>
      </w:r>
      <w:r>
        <w:rPr>
          <w:rFonts w:hint="eastAsia"/>
        </w:rPr>
        <w:t xml:space="preserve"> 上海市联合律师事务所</w:t>
      </w:r>
    </w:p>
    <w:p w14:paraId="72A2D2B3" w14:textId="6AD82C1F" w:rsidR="008B093C" w:rsidRPr="008B093C" w:rsidRDefault="008B093C" w:rsidP="008B093C">
      <w:pPr>
        <w:rPr>
          <w:rFonts w:hint="eastAsia"/>
        </w:rPr>
      </w:pPr>
      <w:r w:rsidRPr="008B093C">
        <w:rPr>
          <w:b/>
          <w:bCs/>
        </w:rPr>
        <w:t>引言</w:t>
      </w:r>
    </w:p>
    <w:p w14:paraId="43EEB291" w14:textId="230C4839" w:rsidR="008B093C" w:rsidRPr="008B093C" w:rsidRDefault="008B093C" w:rsidP="008B093C">
      <w:pPr>
        <w:rPr>
          <w:rFonts w:hint="eastAsia"/>
        </w:rPr>
      </w:pPr>
      <w:r w:rsidRPr="008B093C">
        <w:t>2026年2月6日，中国人民银行等八部委联合发布《关于进一步防范和处置虚拟货币等相关风险的通知》（银发〔2026〕42号，以下简称“42号文”）。同日，中国证监会发布《关于境内资产境外发行资产支持证券代币的监管指引》（证监会公告〔2026〕1号，以下简称《指引》）。</w:t>
      </w:r>
    </w:p>
    <w:p w14:paraId="763722BA" w14:textId="15CE10E4" w:rsidR="008B093C" w:rsidRPr="008B093C" w:rsidRDefault="008B093C" w:rsidP="008B093C">
      <w:pPr>
        <w:rPr>
          <w:rFonts w:hint="eastAsia"/>
        </w:rPr>
      </w:pPr>
      <w:r w:rsidRPr="008B093C">
        <w:t>两份文件传递了看似分离却统一的一套监管逻辑：境内严禁，境外开放合</w:t>
      </w:r>
      <w:proofErr w:type="gramStart"/>
      <w:r w:rsidRPr="008B093C">
        <w:t>规</w:t>
      </w:r>
      <w:proofErr w:type="gramEnd"/>
      <w:r w:rsidRPr="008B093C">
        <w:t>通道。这标志着中国对现实世界资产（Real World Assets，RWA）代币化的监管，正式从无</w:t>
      </w:r>
      <w:proofErr w:type="gramStart"/>
      <w:r w:rsidRPr="008B093C">
        <w:t>规</w:t>
      </w:r>
      <w:proofErr w:type="gramEnd"/>
      <w:r w:rsidRPr="008B093C">
        <w:t>可依进入分类施策的制度化阶段。</w:t>
      </w:r>
    </w:p>
    <w:p w14:paraId="6B030F62" w14:textId="5E446875" w:rsidR="008B093C" w:rsidRPr="008B093C" w:rsidRDefault="008B093C" w:rsidP="008B093C">
      <w:pPr>
        <w:rPr>
          <w:rFonts w:hint="eastAsia"/>
        </w:rPr>
      </w:pPr>
      <w:r w:rsidRPr="008B093C">
        <w:t>全球市场同步加速。根据</w:t>
      </w:r>
      <w:proofErr w:type="spellStart"/>
      <w:r w:rsidRPr="008B093C">
        <w:t>CoinGecko</w:t>
      </w:r>
      <w:proofErr w:type="spellEnd"/>
      <w:r w:rsidRPr="008B093C">
        <w:t>的最新报告，截至2026年第一季度末，全球代币化RWA市场总规模约193亿美元，较2025年初增长逾三倍。香港市场的基础设施也在快速完善。2026年4月10日，香港金管局向汇丰银行及</w:t>
      </w:r>
      <w:proofErr w:type="gramStart"/>
      <w:r w:rsidRPr="008B093C">
        <w:t>碇</w:t>
      </w:r>
      <w:proofErr w:type="gramEnd"/>
      <w:r w:rsidRPr="008B093C">
        <w:t>点金融科技（</w:t>
      </w:r>
      <w:proofErr w:type="spellStart"/>
      <w:r w:rsidRPr="008B093C">
        <w:t>Anchorpoint</w:t>
      </w:r>
      <w:proofErr w:type="spellEnd"/>
      <w:r w:rsidRPr="008B093C">
        <w:t>）颁发首批稳定币发行人牌照；4月20日，香港证监会发布通函，允许代币化认可投资产品在持牌虚拟资产交易平台（VATP）上进行二级市场交易。至2026年3月底，香港已有13项代币化产品向公众发售，管理资产总值达107亿港元，较一年前增长约七倍。</w:t>
      </w:r>
    </w:p>
    <w:p w14:paraId="784FAFB4" w14:textId="5017EBFC" w:rsidR="008B093C" w:rsidRPr="008B093C" w:rsidRDefault="008B093C" w:rsidP="008B093C">
      <w:pPr>
        <w:rPr>
          <w:rFonts w:hint="eastAsia"/>
        </w:rPr>
      </w:pPr>
      <w:r w:rsidRPr="008B093C">
        <w:t>在此制度与市场共同发展完善的背景下，具有内地优质资产的持有人若想赴香港发行RWA代币，在法律合</w:t>
      </w:r>
      <w:proofErr w:type="gramStart"/>
      <w:r w:rsidRPr="008B093C">
        <w:t>规</w:t>
      </w:r>
      <w:proofErr w:type="gramEnd"/>
      <w:r w:rsidRPr="008B093C">
        <w:t>层面需要厘清几个关键问题：RWA在现行法律框架下的定义，目前市场上的先行案例揭示了哪些实践路径与共性法律问题，境内备案程序具体如何操作。本文将从上述角度逐一展开分析。</w:t>
      </w:r>
    </w:p>
    <w:p w14:paraId="4331973D" w14:textId="561C5BC7" w:rsidR="008B093C" w:rsidRPr="008B093C" w:rsidRDefault="008B093C" w:rsidP="008B093C">
      <w:pPr>
        <w:rPr>
          <w:rFonts w:hint="eastAsia"/>
        </w:rPr>
      </w:pPr>
      <w:r w:rsidRPr="008B093C">
        <w:rPr>
          <w:b/>
          <w:bCs/>
        </w:rPr>
        <w:t>一、新</w:t>
      </w:r>
      <w:proofErr w:type="gramStart"/>
      <w:r w:rsidRPr="008B093C">
        <w:rPr>
          <w:b/>
          <w:bCs/>
        </w:rPr>
        <w:t>规</w:t>
      </w:r>
      <w:proofErr w:type="gramEnd"/>
      <w:r w:rsidRPr="008B093C">
        <w:rPr>
          <w:b/>
          <w:bCs/>
        </w:rPr>
        <w:t>如何定义RWA  </w:t>
      </w:r>
    </w:p>
    <w:p w14:paraId="3E2E3AE7" w14:textId="7FCF46C3" w:rsidR="008B093C" w:rsidRPr="008B093C" w:rsidRDefault="008B093C" w:rsidP="008B093C">
      <w:pPr>
        <w:rPr>
          <w:rFonts w:hint="eastAsia"/>
        </w:rPr>
      </w:pPr>
      <w:r w:rsidRPr="008B093C">
        <w:t>理解RWA的法律含义，不能仅停留于文字表述。42号文和《指引》共同构建了一套层次分明的定义体系，该体系包括RWA核心概念、法律定性、监管边界、运行所需的基础设施与监管准入机制。唯有将上述五个层面贯通理解，方能在实践中准确判断一个项目是否属于RWA、应</w:t>
      </w:r>
      <w:proofErr w:type="gramStart"/>
      <w:r w:rsidRPr="008B093C">
        <w:t>适用何套规则</w:t>
      </w:r>
      <w:proofErr w:type="gramEnd"/>
      <w:r w:rsidRPr="008B093C">
        <w:t>、须面对哪些制度约束。</w:t>
      </w:r>
    </w:p>
    <w:p w14:paraId="4168FB0D" w14:textId="79410D36" w:rsidR="008B093C" w:rsidRPr="008B093C" w:rsidRDefault="008B093C" w:rsidP="008B093C">
      <w:pPr>
        <w:rPr>
          <w:rFonts w:hint="eastAsia"/>
        </w:rPr>
      </w:pPr>
      <w:r w:rsidRPr="008B093C">
        <w:t>一是文字定义。42号文第一条第（二）项将RWA界定为：使用加密技术及分布式账本或类似技术，将资产的所有权、收益权等转化为代币或者具有代币特性的其他权益、债券凭证，并进行发行和交易的活动。即RWA的核心要素有二，第一，底层必须是真实资产或真实权益；第二，转化的手段是区块链技术。</w:t>
      </w:r>
    </w:p>
    <w:p w14:paraId="4521A27E" w14:textId="4435CEFC" w:rsidR="008B093C" w:rsidRPr="008B093C" w:rsidRDefault="008B093C" w:rsidP="008B093C">
      <w:pPr>
        <w:rPr>
          <w:rFonts w:hint="eastAsia"/>
        </w:rPr>
      </w:pPr>
      <w:r w:rsidRPr="008B093C">
        <w:t>二是法律定性。《指引》第一条进一步将境外发行RWA定性为资产支持证券代币。此定性也代表着监管层把RWA纳入了传统资产证券化的法律框架，而不是将其视为一种新型金融工具另起炉灶。</w:t>
      </w:r>
    </w:p>
    <w:p w14:paraId="234D5248" w14:textId="7D25D8F7" w:rsidR="008B093C" w:rsidRPr="008B093C" w:rsidRDefault="008B093C" w:rsidP="008B093C">
      <w:pPr>
        <w:rPr>
          <w:rFonts w:hint="eastAsia"/>
        </w:rPr>
      </w:pPr>
      <w:r w:rsidRPr="008B093C">
        <w:lastRenderedPageBreak/>
        <w:t>三是监管边界。42号文同时将RWA与虚拟货币明确区分，确立了两条不同的监管轨道。虚拟货币在境内外均严格禁止；RWA代币则允许在境外合</w:t>
      </w:r>
      <w:proofErr w:type="gramStart"/>
      <w:r w:rsidRPr="008B093C">
        <w:t>规</w:t>
      </w:r>
      <w:proofErr w:type="gramEnd"/>
      <w:r w:rsidRPr="008B093C">
        <w:t>框架内开展，境内任何面向境内居民的RWA发行活动仍属非法。</w:t>
      </w:r>
    </w:p>
    <w:p w14:paraId="6CC54923" w14:textId="1610CB2C" w:rsidR="008B093C" w:rsidRPr="008B093C" w:rsidRDefault="008B093C" w:rsidP="008B093C">
      <w:pPr>
        <w:rPr>
          <w:rFonts w:hint="eastAsia"/>
        </w:rPr>
      </w:pPr>
      <w:r w:rsidRPr="008B093C">
        <w:t>四是配套基础设施。RWA代币的认购、赎回和交割，需要一种链上的支付手段。稳定</w:t>
      </w:r>
      <w:proofErr w:type="gramStart"/>
      <w:r w:rsidRPr="008B093C">
        <w:t>币承担</w:t>
      </w:r>
      <w:proofErr w:type="gramEnd"/>
      <w:r w:rsidRPr="008B093C">
        <w:t>的正是这一角色。2026年4月10日，香港金融管理局（以下简称“香港金管局”）根据《稳定币条例》向两家机构颁发首批稳定币发行人牌照。稳定</w:t>
      </w:r>
      <w:proofErr w:type="gramStart"/>
      <w:r w:rsidRPr="008B093C">
        <w:t>币基础</w:t>
      </w:r>
      <w:proofErr w:type="gramEnd"/>
      <w:r w:rsidRPr="008B093C">
        <w:t>设施的完善，直接决定了RWA能否从发行</w:t>
      </w:r>
      <w:proofErr w:type="gramStart"/>
      <w:r w:rsidRPr="008B093C">
        <w:t>端走向</w:t>
      </w:r>
      <w:proofErr w:type="gramEnd"/>
      <w:r w:rsidRPr="008B093C">
        <w:t>流通端，形成完整的交易闭环。</w:t>
      </w:r>
    </w:p>
    <w:p w14:paraId="6249771A" w14:textId="57922037" w:rsidR="008B093C" w:rsidRPr="008B093C" w:rsidRDefault="008B093C" w:rsidP="008B093C">
      <w:pPr>
        <w:rPr>
          <w:rFonts w:hint="eastAsia"/>
        </w:rPr>
      </w:pPr>
      <w:r w:rsidRPr="008B093C">
        <w:t>五是监管准入机制。从制度设计看，中国证监会《指引》确立的备案制度，并非表面审查。备案材料须对境内备案主体的资格与合</w:t>
      </w:r>
      <w:proofErr w:type="gramStart"/>
      <w:r w:rsidRPr="008B093C">
        <w:t>规</w:t>
      </w:r>
      <w:proofErr w:type="gramEnd"/>
      <w:r w:rsidRPr="008B093C">
        <w:t>状况、基础资产的法律合法性、代币发行方案的合</w:t>
      </w:r>
      <w:proofErr w:type="gramStart"/>
      <w:r w:rsidRPr="008B093C">
        <w:t>规</w:t>
      </w:r>
      <w:proofErr w:type="gramEnd"/>
      <w:r w:rsidRPr="008B093C">
        <w:t>性，以及所有境内外程序的合法履行</w:t>
      </w:r>
      <w:proofErr w:type="gramStart"/>
      <w:r w:rsidRPr="008B093C">
        <w:t>作出</w:t>
      </w:r>
      <w:proofErr w:type="gramEnd"/>
      <w:r w:rsidRPr="008B093C">
        <w:t>充分说明。《指引》第三条还设置了六类一票否决情形，将境外上市备案和ABS负面清单两项成熟制度平移至RWA监管，进一步强化了备案制度的实质审查性质。</w:t>
      </w:r>
    </w:p>
    <w:p w14:paraId="5F91AF60" w14:textId="2B71417E" w:rsidR="008B093C" w:rsidRPr="008B093C" w:rsidRDefault="008B093C" w:rsidP="008B093C">
      <w:pPr>
        <w:rPr>
          <w:rFonts w:hint="eastAsia"/>
        </w:rPr>
      </w:pPr>
      <w:r w:rsidRPr="008B093C">
        <w:rPr>
          <w:b/>
          <w:bCs/>
        </w:rPr>
        <w:t>二、市场实践：从先行案例看RWA的多元化路径</w:t>
      </w:r>
    </w:p>
    <w:p w14:paraId="39D40C89" w14:textId="4AFF67D9" w:rsidR="008B093C" w:rsidRPr="008B093C" w:rsidRDefault="008B093C" w:rsidP="008B093C">
      <w:pPr>
        <w:rPr>
          <w:rFonts w:hint="eastAsia"/>
        </w:rPr>
      </w:pPr>
      <w:r w:rsidRPr="008B093C">
        <w:rPr>
          <w:b/>
          <w:bCs/>
        </w:rPr>
        <w:t>（一）多元化资产类型的先行实践</w:t>
      </w:r>
    </w:p>
    <w:p w14:paraId="4F8023D2" w14:textId="0C8A3EFA" w:rsidR="008B093C" w:rsidRPr="008B093C" w:rsidRDefault="008B093C" w:rsidP="008B093C">
      <w:pPr>
        <w:rPr>
          <w:rFonts w:hint="eastAsia"/>
        </w:rPr>
      </w:pPr>
      <w:r w:rsidRPr="008B093C">
        <w:t>自2024年下半年以来，内地及香港市场已有多单RWA项目成功落地，资产类型从新能源设备延伸</w:t>
      </w:r>
      <w:proofErr w:type="gramStart"/>
      <w:r w:rsidRPr="008B093C">
        <w:t>至商业</w:t>
      </w:r>
      <w:proofErr w:type="gramEnd"/>
      <w:r w:rsidRPr="008B093C">
        <w:t>地产、文娱收益权、实物黄金乃至制造业生产线，参与主体亦呈现多元化趋势。</w:t>
      </w:r>
    </w:p>
    <w:p w14:paraId="344DC02F" w14:textId="3935D15F" w:rsidR="008B093C" w:rsidRPr="008B093C" w:rsidRDefault="008B093C" w:rsidP="008B093C">
      <w:pPr>
        <w:rPr>
          <w:rFonts w:hint="eastAsia"/>
        </w:rPr>
      </w:pPr>
      <w:r w:rsidRPr="008B093C">
        <w:t>2024年8月，蚂蚁数科与朗新科技合作完成了</w:t>
      </w:r>
      <w:proofErr w:type="gramStart"/>
      <w:r w:rsidRPr="008B093C">
        <w:t>国内首单基于</w:t>
      </w:r>
      <w:proofErr w:type="gramEnd"/>
      <w:r w:rsidRPr="008B093C">
        <w:t>新能源实体资产的RWA。该项目以新能源设备产生的稳定现金流为底层支撑，在境外发行代币化权益凭证，打开了实体资产通过区块链技术实现跨境融资的通道。进入2026年，香港市场的合</w:t>
      </w:r>
      <w:proofErr w:type="gramStart"/>
      <w:r w:rsidRPr="008B093C">
        <w:t>规化</w:t>
      </w:r>
      <w:proofErr w:type="gramEnd"/>
      <w:r w:rsidRPr="008B093C">
        <w:t>进程明显提速。德林控股以位于中环的德</w:t>
      </w:r>
      <w:proofErr w:type="gramStart"/>
      <w:r w:rsidRPr="008B093C">
        <w:t>林大厦</w:t>
      </w:r>
      <w:proofErr w:type="gramEnd"/>
      <w:r w:rsidRPr="008B093C">
        <w:t>为底层资产（估值约5亿港元），通过有限合伙基金持有大厦权益并完成代币化，于2026年2月获得香港证监会无异议确认；同期，Esperanza以香港红磡体育馆演唱会等文娱资产的票房、赞助及周边收益权为基础，同样以证券型代币形式发行RWA，亦获SFC认可。2026年5月，云</w:t>
      </w:r>
      <w:proofErr w:type="gramStart"/>
      <w:r w:rsidRPr="008B093C">
        <w:t>锋金融</w:t>
      </w:r>
      <w:proofErr w:type="gramEnd"/>
      <w:r w:rsidRPr="008B093C">
        <w:t>旗下平台推出实物黄金代币产品，以LBMA认证的99.99%纯度黄金为底层资产，每枚代币对应一克黄金，面向香港专业投资者开放，展示了传统金融机构在RWA领域的合</w:t>
      </w:r>
      <w:proofErr w:type="gramStart"/>
      <w:r w:rsidRPr="008B093C">
        <w:t>规</w:t>
      </w:r>
      <w:proofErr w:type="gramEnd"/>
      <w:r w:rsidRPr="008B093C">
        <w:t>布局。在国际层面，据行业媒体报道，特斯拉于2025年8月将柏林工厂价值约50亿美元的生产线收益权分拆为数字凭证，在72小时内完成超募认购，为制造业重资产的代币化提供了极具想象空间的参照。此外，值得关注的是周六福的战略布局——2025年9月，周六</w:t>
      </w:r>
      <w:proofErr w:type="gramStart"/>
      <w:r w:rsidRPr="008B093C">
        <w:t>福通过</w:t>
      </w:r>
      <w:proofErr w:type="gramEnd"/>
      <w:r w:rsidRPr="008B093C">
        <w:t>全资子公司入股持有香港第1、2、4、5、9类牌照的高盈证券，虽尚未实际发行RWA，但通过股权合作获取合</w:t>
      </w:r>
      <w:proofErr w:type="gramStart"/>
      <w:r w:rsidRPr="008B093C">
        <w:t>规</w:t>
      </w:r>
      <w:proofErr w:type="gramEnd"/>
      <w:r w:rsidRPr="008B093C">
        <w:t>发行通道的路径，为缺乏金融牌照能力的实体企业提供了另一种参与方式。</w:t>
      </w:r>
    </w:p>
    <w:p w14:paraId="2C9CD46F" w14:textId="394BB12B" w:rsidR="008B093C" w:rsidRPr="008B093C" w:rsidRDefault="008B093C" w:rsidP="008B093C">
      <w:pPr>
        <w:rPr>
          <w:rFonts w:hint="eastAsia"/>
        </w:rPr>
      </w:pPr>
      <w:r w:rsidRPr="008B093C">
        <w:t>上述案例共同勾勒出RWA领域正在发生的重要变化。从资产类型看，已从最初的新能源设备拓展</w:t>
      </w:r>
      <w:proofErr w:type="gramStart"/>
      <w:r w:rsidRPr="008B093C">
        <w:t>至商业</w:t>
      </w:r>
      <w:proofErr w:type="gramEnd"/>
      <w:r w:rsidRPr="008B093C">
        <w:t>地产、文娱收益权、实物黄金、生产线收益权等多个领域，RWA的底层资产边界持续扩展。从参与主体看，既有金融科技公司与传统金融机构，也有实</w:t>
      </w:r>
      <w:r w:rsidRPr="008B093C">
        <w:lastRenderedPageBreak/>
        <w:t>体企业通过持股持牌机构的方式间接入局，市场参与者结构日趋多元。从合</w:t>
      </w:r>
      <w:proofErr w:type="gramStart"/>
      <w:r w:rsidRPr="008B093C">
        <w:t>规</w:t>
      </w:r>
      <w:proofErr w:type="gramEnd"/>
      <w:r w:rsidRPr="008B093C">
        <w:t>环境看，2026年以来香港SFC对多单RWA项目出具无异议确认，备案制下的境内通道亦已明确，合</w:t>
      </w:r>
      <w:proofErr w:type="gramStart"/>
      <w:r w:rsidRPr="008B093C">
        <w:t>规</w:t>
      </w:r>
      <w:proofErr w:type="gramEnd"/>
      <w:r w:rsidRPr="008B093C">
        <w:t>路径正从“个案探索”走向“常态化”。</w:t>
      </w:r>
    </w:p>
    <w:p w14:paraId="4E39DB10" w14:textId="3566455C" w:rsidR="008B093C" w:rsidRPr="008B093C" w:rsidRDefault="008B093C" w:rsidP="008B093C">
      <w:pPr>
        <w:rPr>
          <w:rFonts w:hint="eastAsia"/>
        </w:rPr>
      </w:pPr>
      <w:r w:rsidRPr="008B093C">
        <w:rPr>
          <w:b/>
          <w:bCs/>
        </w:rPr>
        <w:t>（二）实践背后的共性法律问题</w:t>
      </w:r>
    </w:p>
    <w:p w14:paraId="3317D203" w14:textId="22354D36" w:rsidR="008B093C" w:rsidRPr="008B093C" w:rsidRDefault="008B093C" w:rsidP="008B093C">
      <w:pPr>
        <w:rPr>
          <w:rFonts w:hint="eastAsia"/>
        </w:rPr>
      </w:pPr>
      <w:r w:rsidRPr="008B093C">
        <w:t>在这些丰富多彩的实践背后，存在若干贯穿始终的共性法律问题。其一，底层资产的确权与可转让性。无论采用何种资产类型，发行人必须确保境内资产权属清晰、不存在重大纠纷或法定限制，且能够合法有效地转移至境外发行载体——这是任何RWA项目的法律起点。其二，现金流真实性与稳定性的法律验证。资产支持证券代币的偿付基础是底层资产产生的现金流，该现金流的真实性、可预测性及可验证性，直接关系到产品能否获得投资者认可及监管审查通过。其三，跨境权益转移的合</w:t>
      </w:r>
      <w:proofErr w:type="gramStart"/>
      <w:r w:rsidRPr="008B093C">
        <w:t>规</w:t>
      </w:r>
      <w:proofErr w:type="gramEnd"/>
      <w:r w:rsidRPr="008B093C">
        <w:t>门槛。境内资产出境须同时满足境外直接投资（ODI）核准或备案、外汇管理登记以及数据出境安全评估等多项法定程序，任</w:t>
      </w:r>
      <w:proofErr w:type="gramStart"/>
      <w:r w:rsidRPr="008B093C">
        <w:t>一</w:t>
      </w:r>
      <w:proofErr w:type="gramEnd"/>
      <w:r w:rsidRPr="008B093C">
        <w:t>环节的缺失都可能导致整个架构崩塌。其四，香港持牌要求的普遍适用性。无论产品结构如何设计，只要面向香港投资者发行或交易，代币</w:t>
      </w:r>
      <w:proofErr w:type="gramStart"/>
      <w:r w:rsidRPr="008B093C">
        <w:t>化安排</w:t>
      </w:r>
      <w:proofErr w:type="gramEnd"/>
      <w:r w:rsidRPr="008B093C">
        <w:t>均须置于持牌虚拟资产交易平台或分销机构的合</w:t>
      </w:r>
      <w:proofErr w:type="gramStart"/>
      <w:r w:rsidRPr="008B093C">
        <w:t>规</w:t>
      </w:r>
      <w:proofErr w:type="gramEnd"/>
      <w:r w:rsidRPr="008B093C">
        <w:t>框架之内，发行人须对此有充分预判。这些共性法律问题，是每个RWA项目在启动之前就必须系统梳理和提前解决的底层问题。而其中最为关键的境内端环节——证监会备案程序，将在下一章详细展开。</w:t>
      </w:r>
    </w:p>
    <w:p w14:paraId="3FE943C5" w14:textId="5C5AE726" w:rsidR="008B093C" w:rsidRPr="008B093C" w:rsidRDefault="008B093C" w:rsidP="008B093C">
      <w:pPr>
        <w:rPr>
          <w:rFonts w:hint="eastAsia"/>
        </w:rPr>
      </w:pPr>
      <w:r w:rsidRPr="008B093C">
        <w:rPr>
          <w:b/>
          <w:bCs/>
        </w:rPr>
        <w:t>三、境内备案程序与合</w:t>
      </w:r>
      <w:proofErr w:type="gramStart"/>
      <w:r w:rsidRPr="008B093C">
        <w:rPr>
          <w:b/>
          <w:bCs/>
        </w:rPr>
        <w:t>规</w:t>
      </w:r>
      <w:proofErr w:type="gramEnd"/>
      <w:r w:rsidRPr="008B093C">
        <w:rPr>
          <w:b/>
          <w:bCs/>
        </w:rPr>
        <w:t>要点  </w:t>
      </w:r>
    </w:p>
    <w:p w14:paraId="3AF1B7B5" w14:textId="07EB13F7" w:rsidR="008B093C" w:rsidRPr="008B093C" w:rsidRDefault="008B093C" w:rsidP="008B093C">
      <w:pPr>
        <w:rPr>
          <w:rFonts w:hint="eastAsia"/>
        </w:rPr>
      </w:pPr>
      <w:r w:rsidRPr="008B093C">
        <w:t>法律架构选定之后，</w:t>
      </w:r>
      <w:proofErr w:type="gramStart"/>
      <w:r w:rsidRPr="008B093C">
        <w:t>境内端合规</w:t>
      </w:r>
      <w:proofErr w:type="gramEnd"/>
      <w:r w:rsidRPr="008B093C">
        <w:t>是项目能否落地的实质门槛。</w:t>
      </w:r>
    </w:p>
    <w:p w14:paraId="2C7A1D48" w14:textId="58140568" w:rsidR="008B093C" w:rsidRPr="008B093C" w:rsidRDefault="008B093C" w:rsidP="008B093C">
      <w:pPr>
        <w:rPr>
          <w:rFonts w:hint="eastAsia"/>
        </w:rPr>
      </w:pPr>
      <w:r w:rsidRPr="008B093C">
        <w:rPr>
          <w:b/>
          <w:bCs/>
        </w:rPr>
        <w:t>（一）备案主体与材料</w:t>
      </w:r>
    </w:p>
    <w:p w14:paraId="274E51F6" w14:textId="195D87D7" w:rsidR="008B093C" w:rsidRPr="008B093C" w:rsidRDefault="008B093C" w:rsidP="008B093C">
      <w:pPr>
        <w:rPr>
          <w:rFonts w:hint="eastAsia"/>
        </w:rPr>
      </w:pPr>
      <w:r w:rsidRPr="008B093C">
        <w:t>《指引》第四条及第六条明确，实际控制基础资产的境内主体（即备案主体）须在境外发行前向中国证监会履行备案程序，并承担持续报告义务。中国证监会同步发布《境内资产境外发行资产支持证券代币办事指南第1号——备案材料内容及格式》（以下简称《办事指南》），对备案材料的内容、格式和报送程序</w:t>
      </w:r>
      <w:proofErr w:type="gramStart"/>
      <w:r w:rsidRPr="008B093C">
        <w:t>作出</w:t>
      </w:r>
      <w:proofErr w:type="gramEnd"/>
      <w:r w:rsidRPr="008B093C">
        <w:t>详细规定。</w:t>
      </w:r>
    </w:p>
    <w:p w14:paraId="02AB20B0" w14:textId="77777777" w:rsidR="008B093C" w:rsidRPr="008B093C" w:rsidRDefault="008B093C" w:rsidP="008B093C">
      <w:r w:rsidRPr="008B093C">
        <w:t>备案材料包括三部分：</w:t>
      </w:r>
    </w:p>
    <w:p w14:paraId="7A11BD00" w14:textId="77777777" w:rsidR="008B093C" w:rsidRPr="008B093C" w:rsidRDefault="008B093C" w:rsidP="008B093C">
      <w:r w:rsidRPr="008B093C">
        <w:t>1.备案报告：须客观描述发行方案、备案主体基本情况及运作情况、项目参与方基本情况、基础资产信息、发行决策程序、境内外合</w:t>
      </w:r>
      <w:proofErr w:type="gramStart"/>
      <w:r w:rsidRPr="008B093C">
        <w:t>规</w:t>
      </w:r>
      <w:proofErr w:type="gramEnd"/>
      <w:r w:rsidRPr="008B093C">
        <w:t>情况说明、其他说明事项等七个方面。不得使用市场推广性语言。</w:t>
      </w:r>
    </w:p>
    <w:p w14:paraId="158CAAA2" w14:textId="77777777" w:rsidR="008B093C" w:rsidRPr="008B093C" w:rsidRDefault="008B093C" w:rsidP="008B093C">
      <w:r w:rsidRPr="008B093C">
        <w:t>2.境内法律意见书：由律师出具，须对备案主体资格、基础资产合</w:t>
      </w:r>
      <w:proofErr w:type="gramStart"/>
      <w:r w:rsidRPr="008B093C">
        <w:t>规</w:t>
      </w:r>
      <w:proofErr w:type="gramEnd"/>
      <w:r w:rsidRPr="008B093C">
        <w:t>性、代币发行方案合</w:t>
      </w:r>
      <w:proofErr w:type="gramStart"/>
      <w:r w:rsidRPr="008B093C">
        <w:t>规</w:t>
      </w:r>
      <w:proofErr w:type="gramEnd"/>
      <w:r w:rsidRPr="008B093C">
        <w:t>性及境内外合</w:t>
      </w:r>
      <w:proofErr w:type="gramStart"/>
      <w:r w:rsidRPr="008B093C">
        <w:t>规</w:t>
      </w:r>
      <w:proofErr w:type="gramEnd"/>
      <w:r w:rsidRPr="008B093C">
        <w:t>情况发表明确结论性意见。《办事指南》附件二明确规定，结论性意见不得使用“基本符合”“大致符合”等模糊表述。法律意见书须由两名以上经办律师及律所负责人共同签署。</w:t>
      </w:r>
    </w:p>
    <w:p w14:paraId="775A83CA" w14:textId="11BEE867" w:rsidR="008B093C" w:rsidRPr="008B093C" w:rsidRDefault="008B093C" w:rsidP="008B093C">
      <w:pPr>
        <w:rPr>
          <w:rFonts w:hint="eastAsia"/>
        </w:rPr>
      </w:pPr>
      <w:r w:rsidRPr="008B093C">
        <w:t>3.境外全套发行文件：包括白皮书、认购协议、投资者信息披露文件等。</w:t>
      </w:r>
    </w:p>
    <w:p w14:paraId="2B48DF2B" w14:textId="764A2A04" w:rsidR="008B093C" w:rsidRPr="008B093C" w:rsidRDefault="008B093C" w:rsidP="008B093C">
      <w:pPr>
        <w:rPr>
          <w:rFonts w:hint="eastAsia"/>
        </w:rPr>
      </w:pPr>
      <w:r w:rsidRPr="008B093C">
        <w:rPr>
          <w:b/>
          <w:bCs/>
        </w:rPr>
        <w:lastRenderedPageBreak/>
        <w:t>（二）配套合</w:t>
      </w:r>
      <w:proofErr w:type="gramStart"/>
      <w:r w:rsidRPr="008B093C">
        <w:rPr>
          <w:b/>
          <w:bCs/>
        </w:rPr>
        <w:t>规</w:t>
      </w:r>
      <w:proofErr w:type="gramEnd"/>
      <w:r w:rsidRPr="008B093C">
        <w:rPr>
          <w:b/>
          <w:bCs/>
        </w:rPr>
        <w:t>要求</w:t>
      </w:r>
    </w:p>
    <w:p w14:paraId="6DB2C901" w14:textId="389B8680" w:rsidR="008B093C" w:rsidRPr="008B093C" w:rsidRDefault="008B093C" w:rsidP="008B093C">
      <w:pPr>
        <w:rPr>
          <w:rFonts w:hint="eastAsia"/>
        </w:rPr>
      </w:pPr>
      <w:r w:rsidRPr="008B093C">
        <w:t>除向中国证监会备案外，依据42号文第（十四）条，境内主体还须同步完成以下配套程序：向国家发展改革委、商务部门和外汇管理部门办理境外直接投资（ODI）备案或核准。根据资产上链过程中涉及的个人信息、重要数据等实际情况，审慎评估是否需要按照《数据出境安全评估办法》规定的程序向</w:t>
      </w:r>
      <w:proofErr w:type="gramStart"/>
      <w:r w:rsidRPr="008B093C">
        <w:t>国家网信部门</w:t>
      </w:r>
      <w:proofErr w:type="gramEnd"/>
      <w:r w:rsidRPr="008B093C">
        <w:t>申报数据出境安全评估。</w:t>
      </w:r>
    </w:p>
    <w:p w14:paraId="78DF3098" w14:textId="0ECA01CA" w:rsidR="008B093C" w:rsidRPr="008B093C" w:rsidRDefault="008B093C" w:rsidP="008B093C">
      <w:pPr>
        <w:rPr>
          <w:rFonts w:hint="eastAsia"/>
        </w:rPr>
      </w:pPr>
      <w:r w:rsidRPr="008B093C">
        <w:rPr>
          <w:b/>
          <w:bCs/>
        </w:rPr>
        <w:t>（三）备案程序与持续报告</w:t>
      </w:r>
    </w:p>
    <w:p w14:paraId="13C92A49" w14:textId="5F826226" w:rsidR="008B093C" w:rsidRPr="008B093C" w:rsidRDefault="008B093C" w:rsidP="008B093C">
      <w:pPr>
        <w:rPr>
          <w:rFonts w:hint="eastAsia"/>
        </w:rPr>
      </w:pPr>
      <w:r w:rsidRPr="008B093C">
        <w:t>证监会审查材料后，符合规定的履行备案程序并公示信息；不符合规定的不予备案。备案完成后，境内备案主体仍须及时报告发行结果，包括主体名称、基础资产类型、交易场所、代币上市时间、发行规模等以及重大风险或其他重大事项。</w:t>
      </w:r>
    </w:p>
    <w:p w14:paraId="6A1C54CE" w14:textId="4E1B8C81" w:rsidR="008B093C" w:rsidRPr="008B093C" w:rsidRDefault="008B093C" w:rsidP="008B093C">
      <w:pPr>
        <w:rPr>
          <w:rFonts w:hint="eastAsia"/>
        </w:rPr>
      </w:pPr>
      <w:r w:rsidRPr="008B093C">
        <w:rPr>
          <w:b/>
          <w:bCs/>
        </w:rPr>
        <w:t>四、RWA落地的制度拼图与市场验证</w:t>
      </w:r>
    </w:p>
    <w:p w14:paraId="1A304343" w14:textId="58234096" w:rsidR="008B093C" w:rsidRPr="008B093C" w:rsidRDefault="008B093C" w:rsidP="008B093C">
      <w:pPr>
        <w:rPr>
          <w:rFonts w:hint="eastAsia"/>
        </w:rPr>
      </w:pPr>
      <w:r w:rsidRPr="008B093C">
        <w:rPr>
          <w:b/>
          <w:bCs/>
        </w:rPr>
        <w:t>（一）2026年4月香港SFC二级市场新</w:t>
      </w:r>
      <w:proofErr w:type="gramStart"/>
      <w:r w:rsidRPr="008B093C">
        <w:rPr>
          <w:b/>
          <w:bCs/>
        </w:rPr>
        <w:t>规</w:t>
      </w:r>
      <w:proofErr w:type="gramEnd"/>
    </w:p>
    <w:p w14:paraId="03DAC4F1" w14:textId="12B3ECD3" w:rsidR="008B093C" w:rsidRPr="008B093C" w:rsidRDefault="008B093C" w:rsidP="008B093C">
      <w:pPr>
        <w:rPr>
          <w:rFonts w:hint="eastAsia"/>
        </w:rPr>
      </w:pPr>
      <w:r w:rsidRPr="008B093C">
        <w:t xml:space="preserve">香港证券及期货事务监察委员会（Securities and Futures Commission，简称“SFC”）是负责监管香港证券及期货市场的法定机构，近年来，SFC亦积极扩展其在虚拟资产领域的监管框架。2026年4月20日，香港证监会发布通函（即《有关代币化证监会认可投资产品的通函》，《Circular on </w:t>
      </w:r>
      <w:proofErr w:type="spellStart"/>
      <w:r w:rsidRPr="008B093C">
        <w:t>tokenisation</w:t>
      </w:r>
      <w:proofErr w:type="spellEnd"/>
      <w:r w:rsidRPr="008B093C">
        <w:t xml:space="preserve"> of SFC-</w:t>
      </w:r>
      <w:proofErr w:type="spellStart"/>
      <w:r w:rsidRPr="008B093C">
        <w:t>authorised</w:t>
      </w:r>
      <w:proofErr w:type="spellEnd"/>
      <w:r w:rsidRPr="008B093C">
        <w:t xml:space="preserve"> investment products》），明确允许代币化证监会认可投资产品在持牌VATP（即持牌虚拟资产交易平台，Licensed Virtual Asset Trading Platform）上进行二级市场买卖。新</w:t>
      </w:r>
      <w:proofErr w:type="gramStart"/>
      <w:r w:rsidRPr="008B093C">
        <w:t>规</w:t>
      </w:r>
      <w:proofErr w:type="gramEnd"/>
      <w:r w:rsidRPr="008B093C">
        <w:t>主要面向代币化开放式基金，进一步扩展可供散户使用的受</w:t>
      </w:r>
      <w:proofErr w:type="gramStart"/>
      <w:r w:rsidRPr="008B093C">
        <w:t>规</w:t>
      </w:r>
      <w:proofErr w:type="gramEnd"/>
      <w:r w:rsidRPr="008B093C">
        <w:t>管交易服务。交易平台须确保公平定价、有序交易、流动性提供和信息披露等制度安排。此前已于2025年11月发布的另一份通函（即《有关扩展虚拟资产交易平台的产品及服务的通函》，《Circular on expansion of products and services of virtual asset trading platforms》）已允许持牌VATP分销代币化证券及与数字资产相关的投资产品，并可为客户持有相关资产开立信托或客户账户。</w:t>
      </w:r>
    </w:p>
    <w:p w14:paraId="1911C16C" w14:textId="7C62C06B" w:rsidR="008B093C" w:rsidRPr="008B093C" w:rsidRDefault="008B093C" w:rsidP="008B093C">
      <w:pPr>
        <w:rPr>
          <w:rFonts w:hint="eastAsia"/>
        </w:rPr>
      </w:pPr>
      <w:r w:rsidRPr="008B093C">
        <w:t>二级市场制度的建立，为RWA产品从“一级发行”走向“真实流通”提供了合</w:t>
      </w:r>
      <w:proofErr w:type="gramStart"/>
      <w:r w:rsidRPr="008B093C">
        <w:t>规</w:t>
      </w:r>
      <w:proofErr w:type="gramEnd"/>
      <w:r w:rsidRPr="008B093C">
        <w:t>路径，也将直接影响项目的流动性设计和商业可行性判断。</w:t>
      </w:r>
    </w:p>
    <w:p w14:paraId="0AE43529" w14:textId="290B880C" w:rsidR="008B093C" w:rsidRPr="008B093C" w:rsidRDefault="008B093C" w:rsidP="008B093C">
      <w:pPr>
        <w:rPr>
          <w:rFonts w:hint="eastAsia"/>
        </w:rPr>
      </w:pPr>
      <w:r w:rsidRPr="008B093C">
        <w:rPr>
          <w:b/>
          <w:bCs/>
        </w:rPr>
        <w:t>（二）汇丰黄金代币与恒生实物黄金ETF代币化方案</w:t>
      </w:r>
    </w:p>
    <w:p w14:paraId="6FD80EF4" w14:textId="77777777" w:rsidR="008B093C" w:rsidRPr="008B093C" w:rsidRDefault="008B093C" w:rsidP="008B093C">
      <w:r w:rsidRPr="008B093C">
        <w:t>由汇丰银行于2024年面向零售投资者推出的汇丰黄金代币（HSBC Gold Token）是香港首个获SFC认可的零售黄金代币产品。截至2026年2月底，该产品累计交易量已达175亿美元，交易笔数超过21.8万笔。2026年4月，恒生投资管理、汇丰与</w:t>
      </w:r>
      <w:proofErr w:type="spellStart"/>
      <w:r w:rsidRPr="008B093C">
        <w:t>HashKey</w:t>
      </w:r>
      <w:proofErr w:type="spellEnd"/>
      <w:r w:rsidRPr="008B093C">
        <w:t xml:space="preserve"> Exchange三方合作推出香港首个由实物黄金支持的ETF</w:t>
      </w:r>
      <w:proofErr w:type="gramStart"/>
      <w:r w:rsidRPr="008B093C">
        <w:t>代币化非上市</w:t>
      </w:r>
      <w:proofErr w:type="gramEnd"/>
      <w:r w:rsidRPr="008B093C">
        <w:t>类别，这也让该产品成为传统金融资产数字化的标杆范例。传统金融机构持牌资产向链上迁移的趋势已经成型，进入香港代币化生态不再需要从头合</w:t>
      </w:r>
      <w:proofErr w:type="gramStart"/>
      <w:r w:rsidRPr="008B093C">
        <w:t>规</w:t>
      </w:r>
      <w:proofErr w:type="gramEnd"/>
      <w:r w:rsidRPr="008B093C">
        <w:t>，而更多体现为将已备资产的合</w:t>
      </w:r>
      <w:proofErr w:type="gramStart"/>
      <w:r w:rsidRPr="008B093C">
        <w:t>规</w:t>
      </w:r>
      <w:proofErr w:type="gramEnd"/>
      <w:r w:rsidRPr="008B093C">
        <w:t>路径与香港持牌体系对接。</w:t>
      </w:r>
    </w:p>
    <w:p w14:paraId="6C184624" w14:textId="77777777" w:rsidR="008B093C" w:rsidRPr="008B093C" w:rsidRDefault="008B093C" w:rsidP="008B093C">
      <w:r w:rsidRPr="008B093C">
        <w:rPr>
          <w:b/>
          <w:bCs/>
        </w:rPr>
        <w:lastRenderedPageBreak/>
        <w:t>结语</w:t>
      </w:r>
    </w:p>
    <w:p w14:paraId="4145145E" w14:textId="77777777" w:rsidR="008B093C" w:rsidRPr="008B093C" w:rsidRDefault="008B093C" w:rsidP="008B093C">
      <w:r w:rsidRPr="008B093C">
        <w:t>对有意进入这一赛道的企业而言，合</w:t>
      </w:r>
      <w:proofErr w:type="gramStart"/>
      <w:r w:rsidRPr="008B093C">
        <w:t>规</w:t>
      </w:r>
      <w:proofErr w:type="gramEnd"/>
      <w:r w:rsidRPr="008B093C">
        <w:t>门槛是入场券，但不是终点。优质的底层资产、可持续的投资者来源和清晰的商业模式，才是项目能否真正跑通的决定因素。</w:t>
      </w:r>
    </w:p>
    <w:p w14:paraId="122B3B8F" w14:textId="77777777" w:rsidR="008B093C" w:rsidRPr="008B093C" w:rsidRDefault="008B093C" w:rsidP="008B093C">
      <w:r w:rsidRPr="008B093C">
        <w:t>2026年以来，42号文与《指引》确立了境内严禁、境外严管、备案可行的监管框架。金管</w:t>
      </w:r>
      <w:proofErr w:type="gramStart"/>
      <w:r w:rsidRPr="008B093C">
        <w:t>局稳定币</w:t>
      </w:r>
      <w:proofErr w:type="gramEnd"/>
      <w:r w:rsidRPr="008B093C">
        <w:t>牌照与SFC二级市场新</w:t>
      </w:r>
      <w:proofErr w:type="gramStart"/>
      <w:r w:rsidRPr="008B093C">
        <w:t>规</w:t>
      </w:r>
      <w:proofErr w:type="gramEnd"/>
      <w:r w:rsidRPr="008B093C">
        <w:t>，分别补齐了现金端与流通端的基础设施。制度框架初步成形，市场案例陆续落地，内地资产赴港发行RWA正走向制度性常态化。</w:t>
      </w:r>
    </w:p>
    <w:p w14:paraId="3C11BE91" w14:textId="77777777" w:rsidR="008B093C" w:rsidRDefault="008B093C" w:rsidP="008B093C"/>
    <w:p w14:paraId="4D35BD65" w14:textId="0FC89978" w:rsidR="008B093C" w:rsidRPr="008B093C" w:rsidRDefault="008B093C" w:rsidP="008B093C">
      <w:r>
        <w:rPr>
          <w:rFonts w:hint="eastAsia"/>
        </w:rPr>
        <w:t>*</w:t>
      </w:r>
      <w:r w:rsidRPr="008B093C">
        <w:t>本文内容仅为一般性信息分享，不构成任何形式的法律意见或建议。具体项目的合</w:t>
      </w:r>
      <w:proofErr w:type="gramStart"/>
      <w:r w:rsidRPr="008B093C">
        <w:t>规</w:t>
      </w:r>
      <w:proofErr w:type="gramEnd"/>
      <w:r w:rsidRPr="008B093C">
        <w:t>安排，请结合实际情况与承办律师进一步沟通确认。</w:t>
      </w:r>
    </w:p>
    <w:p w14:paraId="032EE23B" w14:textId="77777777" w:rsidR="008B093C" w:rsidRPr="008B093C" w:rsidRDefault="008B093C" w:rsidP="008B093C">
      <w:r w:rsidRPr="008B093C">
        <w:br/>
      </w:r>
    </w:p>
    <w:p w14:paraId="38A9A2F6" w14:textId="77777777" w:rsidR="008B093C" w:rsidRPr="008B093C" w:rsidRDefault="008B093C" w:rsidP="008B093C">
      <w:r w:rsidRPr="008B093C">
        <w:rPr>
          <w:b/>
          <w:bCs/>
        </w:rPr>
        <w:t>律师介绍</w:t>
      </w:r>
    </w:p>
    <w:p w14:paraId="0010CF2E" w14:textId="77777777" w:rsidR="008B093C" w:rsidRPr="008B093C" w:rsidRDefault="008B093C" w:rsidP="008B093C">
      <w:r w:rsidRPr="008B093C">
        <w:rPr>
          <w:b/>
          <w:bCs/>
        </w:rPr>
        <w:t>毛嘉</w:t>
      </w:r>
    </w:p>
    <w:p w14:paraId="4106FF44" w14:textId="6718431B" w:rsidR="008B093C" w:rsidRPr="008B093C" w:rsidRDefault="008B093C" w:rsidP="008B093C">
      <w:pPr>
        <w:rPr>
          <w:rFonts w:hint="eastAsia"/>
        </w:rPr>
      </w:pPr>
      <w:r w:rsidRPr="008B093C">
        <w:t>上海市联合律师事务所 合伙人</w:t>
      </w:r>
    </w:p>
    <w:p w14:paraId="447BACCB" w14:textId="77777777" w:rsidR="008B093C" w:rsidRPr="008B093C" w:rsidRDefault="008B093C" w:rsidP="008B093C">
      <w:r w:rsidRPr="008B093C">
        <w:t>专业领域：争议解决、公司治理、商事仲裁</w:t>
      </w:r>
    </w:p>
    <w:p w14:paraId="4E8A92C8" w14:textId="77777777" w:rsidR="008B093C" w:rsidRDefault="008B093C" w:rsidP="008B093C"/>
    <w:p w14:paraId="38C2154A" w14:textId="28D355AD" w:rsidR="008B093C" w:rsidRPr="008B093C" w:rsidRDefault="008B093C" w:rsidP="008B093C">
      <w:r w:rsidRPr="008B093C">
        <w:rPr>
          <w:b/>
          <w:bCs/>
        </w:rPr>
        <w:t>张新月</w:t>
      </w:r>
    </w:p>
    <w:p w14:paraId="08B7807E" w14:textId="77777777" w:rsidR="008B093C" w:rsidRPr="008B093C" w:rsidRDefault="008B093C" w:rsidP="008B093C">
      <w:r w:rsidRPr="008B093C">
        <w:t>上海市联合律师事务所 律师</w:t>
      </w:r>
    </w:p>
    <w:p w14:paraId="774F6946" w14:textId="77777777" w:rsidR="008B093C" w:rsidRPr="008B093C" w:rsidRDefault="008B093C" w:rsidP="008B093C">
      <w:r w:rsidRPr="008B093C">
        <w:t>专业领域：争议解决、商事仲裁、合</w:t>
      </w:r>
      <w:proofErr w:type="gramStart"/>
      <w:r w:rsidRPr="008B093C">
        <w:t>规</w:t>
      </w:r>
      <w:proofErr w:type="gramEnd"/>
      <w:r w:rsidRPr="008B093C">
        <w:t>管理</w:t>
      </w:r>
    </w:p>
    <w:p w14:paraId="0139D300" w14:textId="77777777" w:rsidR="001F2813" w:rsidRDefault="001F2813"/>
    <w:sectPr w:rsidR="001F2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3C"/>
    <w:rsid w:val="00035498"/>
    <w:rsid w:val="001F2813"/>
    <w:rsid w:val="00270DFA"/>
    <w:rsid w:val="008B093C"/>
    <w:rsid w:val="00D5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09A4"/>
  <w15:chartTrackingRefBased/>
  <w15:docId w15:val="{B6CA7130-EF17-446F-89DC-DBD444EF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93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93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93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9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9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93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9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9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9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093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B093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B0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Wang</dc:creator>
  <cp:keywords/>
  <dc:description/>
  <cp:lastModifiedBy>Brenda Wang</cp:lastModifiedBy>
  <cp:revision>1</cp:revision>
  <dcterms:created xsi:type="dcterms:W3CDTF">2026-05-15T06:34:00Z</dcterms:created>
  <dcterms:modified xsi:type="dcterms:W3CDTF">2026-05-15T06:38:00Z</dcterms:modified>
</cp:coreProperties>
</file>