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24B7" w:rsidRDefault="00457834">
      <w:pPr>
        <w:spacing w:line="420" w:lineRule="exact"/>
        <w:jc w:val="both"/>
        <w:rPr>
          <w:lang w:eastAsia="zh-CN"/>
        </w:rPr>
      </w:pPr>
      <w:bookmarkStart w:id="0" w:name="_GoBack"/>
      <w:r>
        <w:rPr>
          <w:rFonts w:ascii="仿宋" w:eastAsia="仿宋" w:hAnsi="仿宋"/>
          <w:sz w:val="24"/>
          <w:lang w:eastAsia="zh-CN"/>
        </w:rPr>
        <w:t>欧盟数据治理调整下</w:t>
      </w:r>
      <w:proofErr w:type="gramStart"/>
      <w:r>
        <w:rPr>
          <w:rFonts w:ascii="仿宋" w:eastAsia="仿宋" w:hAnsi="仿宋"/>
          <w:sz w:val="24"/>
          <w:lang w:eastAsia="zh-CN"/>
        </w:rPr>
        <w:t>中国科创企业</w:t>
      </w:r>
      <w:proofErr w:type="gramEnd"/>
      <w:r>
        <w:rPr>
          <w:rFonts w:ascii="仿宋" w:eastAsia="仿宋" w:hAnsi="仿宋"/>
          <w:sz w:val="24"/>
          <w:lang w:eastAsia="zh-CN"/>
        </w:rPr>
        <w:t>数据出海的合</w:t>
      </w:r>
      <w:proofErr w:type="gramStart"/>
      <w:r>
        <w:rPr>
          <w:rFonts w:ascii="仿宋" w:eastAsia="仿宋" w:hAnsi="仿宋"/>
          <w:sz w:val="24"/>
          <w:lang w:eastAsia="zh-CN"/>
        </w:rPr>
        <w:t>规</w:t>
      </w:r>
      <w:proofErr w:type="gramEnd"/>
      <w:r>
        <w:rPr>
          <w:rFonts w:ascii="仿宋" w:eastAsia="仿宋" w:hAnsi="仿宋"/>
          <w:sz w:val="24"/>
          <w:lang w:eastAsia="zh-CN"/>
        </w:rPr>
        <w:t>重点</w:t>
      </w:r>
    </w:p>
    <w:bookmarkEnd w:id="0"/>
    <w:p w:rsidR="00457834" w:rsidRDefault="00457834" w:rsidP="00457834">
      <w:pPr>
        <w:spacing w:line="420" w:lineRule="exact"/>
        <w:jc w:val="both"/>
        <w:rPr>
          <w:lang w:eastAsia="zh-CN"/>
        </w:rPr>
      </w:pPr>
      <w:r>
        <w:rPr>
          <w:rFonts w:ascii="仿宋" w:eastAsia="仿宋" w:hAnsi="仿宋"/>
          <w:sz w:val="24"/>
          <w:lang w:eastAsia="zh-CN"/>
        </w:rPr>
        <w:t>作者：</w:t>
      </w:r>
    </w:p>
    <w:p w:rsidR="00457834" w:rsidRDefault="00457834" w:rsidP="00457834">
      <w:pPr>
        <w:spacing w:line="420" w:lineRule="exact"/>
        <w:jc w:val="both"/>
        <w:rPr>
          <w:lang w:eastAsia="zh-CN"/>
        </w:rPr>
      </w:pPr>
      <w:r>
        <w:rPr>
          <w:rFonts w:ascii="仿宋" w:eastAsia="仿宋" w:hAnsi="仿宋"/>
          <w:sz w:val="24"/>
          <w:lang w:eastAsia="zh-CN"/>
        </w:rPr>
        <w:t>冯明昱 上海中联律师事务所博士后创新实践基地兼职博士后</w:t>
      </w:r>
    </w:p>
    <w:p w:rsidR="00457834" w:rsidRDefault="00457834" w:rsidP="00457834">
      <w:pPr>
        <w:spacing w:line="420" w:lineRule="exact"/>
        <w:jc w:val="both"/>
        <w:rPr>
          <w:lang w:eastAsia="zh-CN"/>
        </w:rPr>
      </w:pPr>
      <w:r>
        <w:rPr>
          <w:rFonts w:ascii="仿宋" w:eastAsia="仿宋" w:hAnsi="仿宋"/>
          <w:sz w:val="24"/>
          <w:lang w:eastAsia="zh-CN"/>
        </w:rPr>
        <w:t>方懿 上海中联律师事务所合伙人</w:t>
      </w:r>
    </w:p>
    <w:p w:rsidR="00D824B7" w:rsidRDefault="00D824B7">
      <w:pPr>
        <w:spacing w:line="420" w:lineRule="exact"/>
        <w:jc w:val="both"/>
        <w:rPr>
          <w:lang w:eastAsia="zh-CN"/>
        </w:rPr>
      </w:pPr>
    </w:p>
    <w:p w:rsidR="00D824B7" w:rsidRDefault="00457834">
      <w:pPr>
        <w:spacing w:line="420" w:lineRule="exact"/>
        <w:jc w:val="both"/>
        <w:rPr>
          <w:lang w:eastAsia="zh-CN"/>
        </w:rPr>
      </w:pPr>
      <w:r>
        <w:rPr>
          <w:rFonts w:ascii="仿宋" w:eastAsia="仿宋" w:hAnsi="仿宋"/>
          <w:sz w:val="24"/>
          <w:lang w:eastAsia="zh-CN"/>
        </w:rPr>
        <w:t>导语</w:t>
      </w:r>
    </w:p>
    <w:p w:rsidR="00D824B7" w:rsidRDefault="00457834">
      <w:pPr>
        <w:spacing w:line="420" w:lineRule="exact"/>
        <w:jc w:val="both"/>
        <w:rPr>
          <w:lang w:eastAsia="zh-CN"/>
        </w:rPr>
      </w:pPr>
      <w:r>
        <w:rPr>
          <w:rFonts w:ascii="仿宋" w:eastAsia="仿宋" w:hAnsi="仿宋"/>
          <w:sz w:val="24"/>
          <w:lang w:eastAsia="zh-CN"/>
        </w:rPr>
        <w:t>过去较长一段时间内，企业在讨论欧盟场景中的数据出海合</w:t>
      </w:r>
      <w:proofErr w:type="gramStart"/>
      <w:r>
        <w:rPr>
          <w:rFonts w:ascii="仿宋" w:eastAsia="仿宋" w:hAnsi="仿宋"/>
          <w:sz w:val="24"/>
          <w:lang w:eastAsia="zh-CN"/>
        </w:rPr>
        <w:t>规</w:t>
      </w:r>
      <w:proofErr w:type="gramEnd"/>
      <w:r>
        <w:rPr>
          <w:rFonts w:ascii="仿宋" w:eastAsia="仿宋" w:hAnsi="仿宋"/>
          <w:sz w:val="24"/>
          <w:lang w:eastAsia="zh-CN"/>
        </w:rPr>
        <w:t>问题时，通常以《通用数据保护条例》（</w:t>
      </w:r>
      <w:r>
        <w:rPr>
          <w:rFonts w:ascii="仿宋" w:eastAsia="仿宋" w:hAnsi="仿宋"/>
          <w:sz w:val="24"/>
          <w:lang w:eastAsia="zh-CN"/>
        </w:rPr>
        <w:t>GDPR</w:t>
      </w:r>
      <w:r>
        <w:rPr>
          <w:rFonts w:ascii="仿宋" w:eastAsia="仿宋" w:hAnsi="仿宋"/>
          <w:sz w:val="24"/>
          <w:lang w:eastAsia="zh-CN"/>
        </w:rPr>
        <w:t>）所确立的一般义务框架为主要参照，并据此将隐私政策更新、用户告知、标准合同条款签署以及跨境文件安排视为合规工作的主要内容。该理解在传统跨境经营活动中具有相当解释力，但对于以人工智能、平台服务、智能终端和持续迭代型数字产品为主要业务形态的出海主体而言，已难以完整覆盖现实中的主要风险。欧洲数据保护委员会于</w:t>
      </w:r>
      <w:r>
        <w:rPr>
          <w:rFonts w:ascii="仿宋" w:eastAsia="仿宋" w:hAnsi="仿宋"/>
          <w:sz w:val="24"/>
          <w:lang w:eastAsia="zh-CN"/>
        </w:rPr>
        <w:t>2024</w:t>
      </w:r>
      <w:r>
        <w:rPr>
          <w:rFonts w:ascii="仿宋" w:eastAsia="仿宋" w:hAnsi="仿宋"/>
          <w:sz w:val="24"/>
          <w:lang w:eastAsia="zh-CN"/>
        </w:rPr>
        <w:t>年</w:t>
      </w:r>
      <w:r>
        <w:rPr>
          <w:rFonts w:ascii="仿宋" w:eastAsia="仿宋" w:hAnsi="仿宋"/>
          <w:sz w:val="24"/>
          <w:lang w:eastAsia="zh-CN"/>
        </w:rPr>
        <w:t>12</w:t>
      </w:r>
      <w:r>
        <w:rPr>
          <w:rFonts w:ascii="仿宋" w:eastAsia="仿宋" w:hAnsi="仿宋"/>
          <w:sz w:val="24"/>
          <w:lang w:eastAsia="zh-CN"/>
        </w:rPr>
        <w:t>月通过</w:t>
      </w:r>
      <w:r>
        <w:rPr>
          <w:rFonts w:ascii="仿宋" w:eastAsia="仿宋" w:hAnsi="仿宋"/>
          <w:sz w:val="24"/>
          <w:lang w:eastAsia="zh-CN"/>
        </w:rPr>
        <w:t xml:space="preserve"> Opinion </w:t>
      </w:r>
      <w:r>
        <w:rPr>
          <w:rFonts w:ascii="仿宋" w:eastAsia="仿宋" w:hAnsi="仿宋"/>
          <w:sz w:val="24"/>
          <w:lang w:eastAsia="zh-CN"/>
        </w:rPr>
        <w:t>28/2024</w:t>
      </w:r>
      <w:r>
        <w:rPr>
          <w:rFonts w:ascii="仿宋" w:eastAsia="仿宋" w:hAnsi="仿宋"/>
          <w:sz w:val="24"/>
          <w:lang w:eastAsia="zh-CN"/>
        </w:rPr>
        <w:t>，围绕人工智能模型中的个人数据处理建立了统一分析框架。爱尔兰数据保护委员会围绕</w:t>
      </w:r>
      <w:r>
        <w:rPr>
          <w:rFonts w:ascii="仿宋" w:eastAsia="仿宋" w:hAnsi="仿宋"/>
          <w:sz w:val="24"/>
          <w:lang w:eastAsia="zh-CN"/>
        </w:rPr>
        <w:t xml:space="preserve"> Meta AI </w:t>
      </w:r>
      <w:r>
        <w:rPr>
          <w:rFonts w:ascii="仿宋" w:eastAsia="仿宋" w:hAnsi="仿宋"/>
          <w:sz w:val="24"/>
          <w:lang w:eastAsia="zh-CN"/>
        </w:rPr>
        <w:t>训练计划发布的声明、针对</w:t>
      </w:r>
      <w:r>
        <w:rPr>
          <w:rFonts w:ascii="仿宋" w:eastAsia="仿宋" w:hAnsi="仿宋"/>
          <w:sz w:val="24"/>
          <w:lang w:eastAsia="zh-CN"/>
        </w:rPr>
        <w:t xml:space="preserve"> TikTok </w:t>
      </w:r>
      <w:r>
        <w:rPr>
          <w:rFonts w:ascii="仿宋" w:eastAsia="仿宋" w:hAnsi="仿宋"/>
          <w:sz w:val="24"/>
          <w:lang w:eastAsia="zh-CN"/>
        </w:rPr>
        <w:t>对华数据转移</w:t>
      </w:r>
      <w:proofErr w:type="gramStart"/>
      <w:r>
        <w:rPr>
          <w:rFonts w:ascii="仿宋" w:eastAsia="仿宋" w:hAnsi="仿宋"/>
          <w:sz w:val="24"/>
          <w:lang w:eastAsia="zh-CN"/>
        </w:rPr>
        <w:t>作出</w:t>
      </w:r>
      <w:proofErr w:type="gramEnd"/>
      <w:r>
        <w:rPr>
          <w:rFonts w:ascii="仿宋" w:eastAsia="仿宋" w:hAnsi="仿宋"/>
          <w:sz w:val="24"/>
          <w:lang w:eastAsia="zh-CN"/>
        </w:rPr>
        <w:t>的最终决定，以及意大利监管机关对</w:t>
      </w:r>
      <w:r>
        <w:rPr>
          <w:rFonts w:ascii="仿宋" w:eastAsia="仿宋" w:hAnsi="仿宋"/>
          <w:sz w:val="24"/>
          <w:lang w:eastAsia="zh-CN"/>
        </w:rPr>
        <w:t xml:space="preserve"> DeepSeek </w:t>
      </w:r>
      <w:r>
        <w:rPr>
          <w:rFonts w:ascii="仿宋" w:eastAsia="仿宋" w:hAnsi="仿宋"/>
          <w:sz w:val="24"/>
          <w:lang w:eastAsia="zh-CN"/>
        </w:rPr>
        <w:t>采取的信息请求与限制处理措施，进一步将这一变化落实为具体监管要求。由此可见，欧盟当前所关注的，已不限于文本义务是否完备，而进一步延伸</w:t>
      </w:r>
      <w:proofErr w:type="gramStart"/>
      <w:r>
        <w:rPr>
          <w:rFonts w:ascii="仿宋" w:eastAsia="仿宋" w:hAnsi="仿宋"/>
          <w:sz w:val="24"/>
          <w:lang w:eastAsia="zh-CN"/>
        </w:rPr>
        <w:t>至训练</w:t>
      </w:r>
      <w:proofErr w:type="gramEnd"/>
      <w:r>
        <w:rPr>
          <w:rFonts w:ascii="仿宋" w:eastAsia="仿宋" w:hAnsi="仿宋"/>
          <w:sz w:val="24"/>
          <w:lang w:eastAsia="zh-CN"/>
        </w:rPr>
        <w:t>数据来源、模型开发部署、远程访问路径、风险缓释措施以及内部控制安排能否获得持续、清晰且可验证的说明。</w:t>
      </w:r>
    </w:p>
    <w:p w:rsidR="00D824B7" w:rsidRDefault="00457834">
      <w:pPr>
        <w:spacing w:line="420" w:lineRule="exact"/>
        <w:jc w:val="both"/>
        <w:rPr>
          <w:lang w:eastAsia="zh-CN"/>
        </w:rPr>
      </w:pPr>
      <w:r>
        <w:rPr>
          <w:rFonts w:ascii="仿宋" w:eastAsia="仿宋" w:hAnsi="仿宋"/>
          <w:sz w:val="24"/>
          <w:lang w:eastAsia="zh-CN"/>
        </w:rPr>
        <w:t>该变化对</w:t>
      </w:r>
      <w:proofErr w:type="gramStart"/>
      <w:r>
        <w:rPr>
          <w:rFonts w:ascii="仿宋" w:eastAsia="仿宋" w:hAnsi="仿宋"/>
          <w:sz w:val="24"/>
          <w:lang w:eastAsia="zh-CN"/>
        </w:rPr>
        <w:t>中国科创企业</w:t>
      </w:r>
      <w:proofErr w:type="gramEnd"/>
      <w:r>
        <w:rPr>
          <w:rFonts w:ascii="仿宋" w:eastAsia="仿宋" w:hAnsi="仿宋"/>
          <w:sz w:val="24"/>
          <w:lang w:eastAsia="zh-CN"/>
        </w:rPr>
        <w:t>具有较强针对性。相较于传统跨境经营</w:t>
      </w:r>
      <w:r>
        <w:rPr>
          <w:rFonts w:ascii="仿宋" w:eastAsia="仿宋" w:hAnsi="仿宋"/>
          <w:sz w:val="24"/>
          <w:lang w:eastAsia="zh-CN"/>
        </w:rPr>
        <w:t>活动，此类主体的业务运行通常更依赖模型训练、跨境部署、境内研发协同、远程技术支持和持续版本更新。其数据活动因而更容易与欧盟当前重点审查的高风险场景发生重合。本文即围绕人工智能训练审查与对华远程访问控制两个线索展开分析，以说明面向欧盟市场开展数据活动时，合</w:t>
      </w:r>
      <w:proofErr w:type="gramStart"/>
      <w:r>
        <w:rPr>
          <w:rFonts w:ascii="仿宋" w:eastAsia="仿宋" w:hAnsi="仿宋"/>
          <w:sz w:val="24"/>
          <w:lang w:eastAsia="zh-CN"/>
        </w:rPr>
        <w:t>规</w:t>
      </w:r>
      <w:proofErr w:type="gramEnd"/>
      <w:r>
        <w:rPr>
          <w:rFonts w:ascii="仿宋" w:eastAsia="仿宋" w:hAnsi="仿宋"/>
          <w:sz w:val="24"/>
          <w:lang w:eastAsia="zh-CN"/>
        </w:rPr>
        <w:t>判断为何需进一步转向训练数据处理安排、访问控制和前置性合规准备。</w:t>
      </w:r>
    </w:p>
    <w:p w:rsidR="00D824B7" w:rsidRDefault="00457834">
      <w:pPr>
        <w:spacing w:line="420" w:lineRule="exact"/>
        <w:jc w:val="both"/>
        <w:rPr>
          <w:lang w:eastAsia="zh-CN"/>
        </w:rPr>
      </w:pPr>
      <w:r>
        <w:rPr>
          <w:rFonts w:ascii="仿宋" w:eastAsia="仿宋" w:hAnsi="仿宋"/>
          <w:sz w:val="24"/>
          <w:lang w:eastAsia="zh-CN"/>
        </w:rPr>
        <w:t>一、欧盟数据治理调整所指向的高风险数据活动</w:t>
      </w:r>
    </w:p>
    <w:p w:rsidR="00D824B7" w:rsidRDefault="00457834">
      <w:pPr>
        <w:spacing w:line="420" w:lineRule="exact"/>
        <w:jc w:val="both"/>
        <w:rPr>
          <w:lang w:eastAsia="zh-CN"/>
        </w:rPr>
      </w:pPr>
      <w:r>
        <w:rPr>
          <w:rFonts w:ascii="仿宋" w:eastAsia="仿宋" w:hAnsi="仿宋"/>
          <w:sz w:val="24"/>
          <w:lang w:eastAsia="zh-CN"/>
        </w:rPr>
        <w:lastRenderedPageBreak/>
        <w:t>就法规范结构而言，欧盟近期围绕人工智能模型与跨境数字服务所形成的监管变化，实质上集中于三组相互衔接的问题。其一，模型开发与部署中的个人数据处理能否</w:t>
      </w:r>
      <w:r>
        <w:rPr>
          <w:rFonts w:ascii="仿宋" w:eastAsia="仿宋" w:hAnsi="仿宋"/>
          <w:sz w:val="24"/>
          <w:lang w:eastAsia="zh-CN"/>
        </w:rPr>
        <w:t>成立，已不再停留于抽象的技术可行性判断，而</w:t>
      </w:r>
      <w:proofErr w:type="gramStart"/>
      <w:r>
        <w:rPr>
          <w:rFonts w:ascii="仿宋" w:eastAsia="仿宋" w:hAnsi="仿宋"/>
          <w:sz w:val="24"/>
          <w:lang w:eastAsia="zh-CN"/>
        </w:rPr>
        <w:t>需回到</w:t>
      </w:r>
      <w:proofErr w:type="gramEnd"/>
      <w:r>
        <w:rPr>
          <w:rFonts w:ascii="仿宋" w:eastAsia="仿宋" w:hAnsi="仿宋"/>
          <w:sz w:val="24"/>
          <w:lang w:eastAsia="zh-CN"/>
        </w:rPr>
        <w:t xml:space="preserve"> GDPR </w:t>
      </w:r>
      <w:r>
        <w:rPr>
          <w:rFonts w:ascii="仿宋" w:eastAsia="仿宋" w:hAnsi="仿宋"/>
          <w:sz w:val="24"/>
          <w:lang w:eastAsia="zh-CN"/>
        </w:rPr>
        <w:t>关于处理原则、法律基础、信息义务与反对权的既有规范框架。其二，在高风险、持续性和</w:t>
      </w:r>
      <w:proofErr w:type="gramStart"/>
      <w:r>
        <w:rPr>
          <w:rFonts w:ascii="仿宋" w:eastAsia="仿宋" w:hAnsi="仿宋"/>
          <w:sz w:val="24"/>
          <w:lang w:eastAsia="zh-CN"/>
        </w:rPr>
        <w:t>可</w:t>
      </w:r>
      <w:proofErr w:type="gramEnd"/>
      <w:r>
        <w:rPr>
          <w:rFonts w:ascii="仿宋" w:eastAsia="仿宋" w:hAnsi="仿宋"/>
          <w:sz w:val="24"/>
          <w:lang w:eastAsia="zh-CN"/>
        </w:rPr>
        <w:t>扩张的数据活动中，控制者负有更强的事前识别、影响评估与内嵌式控制义务，问责原则因而不再只是事后归责要求，而进入产品开发与部署过程本身。其三，相关业务涉及第三国主体持续接触欧盟用户数据，审查重点即会进一步进入</w:t>
      </w:r>
      <w:r>
        <w:rPr>
          <w:rFonts w:ascii="仿宋" w:eastAsia="仿宋" w:hAnsi="仿宋"/>
          <w:sz w:val="24"/>
          <w:lang w:eastAsia="zh-CN"/>
        </w:rPr>
        <w:t xml:space="preserve"> GDPR </w:t>
      </w:r>
      <w:r>
        <w:rPr>
          <w:rFonts w:ascii="仿宋" w:eastAsia="仿宋" w:hAnsi="仿宋"/>
          <w:sz w:val="24"/>
          <w:lang w:eastAsia="zh-CN"/>
        </w:rPr>
        <w:t>第五章关于跨境转移及保护水平的规范评价。</w:t>
      </w:r>
      <w:r>
        <w:rPr>
          <w:rFonts w:ascii="仿宋" w:eastAsia="仿宋" w:hAnsi="仿宋"/>
          <w:sz w:val="24"/>
          <w:lang w:eastAsia="zh-CN"/>
        </w:rPr>
        <w:t xml:space="preserve">Opinion 28/2024 </w:t>
      </w:r>
      <w:r>
        <w:rPr>
          <w:rFonts w:ascii="仿宋" w:eastAsia="仿宋" w:hAnsi="仿宋"/>
          <w:sz w:val="24"/>
          <w:lang w:eastAsia="zh-CN"/>
        </w:rPr>
        <w:t>之所以重要，正在于其将模型匿名性、合法利益基础以及开发阶段违法处理对后续部署的影</w:t>
      </w:r>
      <w:r>
        <w:rPr>
          <w:rFonts w:ascii="仿宋" w:eastAsia="仿宋" w:hAnsi="仿宋"/>
          <w:sz w:val="24"/>
          <w:lang w:eastAsia="zh-CN"/>
        </w:rPr>
        <w:t>响纳入同一分析框架，并明确要求在开发、部署等不同阶段分别识别控制者责任与合法性条件。由此，欧盟此轮数</w:t>
      </w:r>
      <w:proofErr w:type="gramStart"/>
      <w:r>
        <w:rPr>
          <w:rFonts w:ascii="仿宋" w:eastAsia="仿宋" w:hAnsi="仿宋"/>
          <w:sz w:val="24"/>
          <w:lang w:eastAsia="zh-CN"/>
        </w:rPr>
        <w:t>据治理调整</w:t>
      </w:r>
      <w:proofErr w:type="gramEnd"/>
      <w:r>
        <w:rPr>
          <w:rFonts w:ascii="仿宋" w:eastAsia="仿宋" w:hAnsi="仿宋"/>
          <w:sz w:val="24"/>
          <w:lang w:eastAsia="zh-CN"/>
        </w:rPr>
        <w:t>所针对的，已不是孤立的一次性数据处理行为，而是贯穿开发、部署、持续运行和跨境协同的连续性处理结构。</w:t>
      </w:r>
    </w:p>
    <w:p w:rsidR="00D824B7" w:rsidRDefault="00457834">
      <w:pPr>
        <w:spacing w:line="420" w:lineRule="exact"/>
        <w:jc w:val="both"/>
        <w:rPr>
          <w:lang w:eastAsia="zh-CN"/>
        </w:rPr>
      </w:pPr>
      <w:proofErr w:type="gramStart"/>
      <w:r>
        <w:rPr>
          <w:rFonts w:ascii="仿宋" w:eastAsia="仿宋" w:hAnsi="仿宋"/>
          <w:sz w:val="24"/>
          <w:lang w:eastAsia="zh-CN"/>
        </w:rPr>
        <w:t>该判断</w:t>
      </w:r>
      <w:proofErr w:type="gramEnd"/>
      <w:r>
        <w:rPr>
          <w:rFonts w:ascii="仿宋" w:eastAsia="仿宋" w:hAnsi="仿宋"/>
          <w:sz w:val="24"/>
          <w:lang w:eastAsia="zh-CN"/>
        </w:rPr>
        <w:t>直接影响对出海业务合规边界的理解方式。若仍以传统的数据出境视角观察，企业更容易将合</w:t>
      </w:r>
      <w:proofErr w:type="gramStart"/>
      <w:r>
        <w:rPr>
          <w:rFonts w:ascii="仿宋" w:eastAsia="仿宋" w:hAnsi="仿宋"/>
          <w:sz w:val="24"/>
          <w:lang w:eastAsia="zh-CN"/>
        </w:rPr>
        <w:t>规</w:t>
      </w:r>
      <w:proofErr w:type="gramEnd"/>
      <w:r>
        <w:rPr>
          <w:rFonts w:ascii="仿宋" w:eastAsia="仿宋" w:hAnsi="仿宋"/>
          <w:sz w:val="24"/>
          <w:lang w:eastAsia="zh-CN"/>
        </w:rPr>
        <w:t>事项理解为用户告知、合同安排和服务器部署等外围问题。但在人工智能和持续性数字服务场景中，决定风险高低的往往是训练、部署、调优、反馈回流和跨区域协同支持所构成的连续处理链条。对这类链条的规制，已不能仅依赖文本合</w:t>
      </w:r>
      <w:proofErr w:type="gramStart"/>
      <w:r>
        <w:rPr>
          <w:rFonts w:ascii="仿宋" w:eastAsia="仿宋" w:hAnsi="仿宋"/>
          <w:sz w:val="24"/>
          <w:lang w:eastAsia="zh-CN"/>
        </w:rPr>
        <w:t>规</w:t>
      </w:r>
      <w:proofErr w:type="gramEnd"/>
      <w:r>
        <w:rPr>
          <w:rFonts w:ascii="仿宋" w:eastAsia="仿宋" w:hAnsi="仿宋"/>
          <w:sz w:val="24"/>
          <w:lang w:eastAsia="zh-CN"/>
        </w:rPr>
        <w:t>完</w:t>
      </w:r>
      <w:r>
        <w:rPr>
          <w:rFonts w:ascii="仿宋" w:eastAsia="仿宋" w:hAnsi="仿宋"/>
          <w:sz w:val="24"/>
          <w:lang w:eastAsia="zh-CN"/>
        </w:rPr>
        <w:t>成，而需进入具体的数据来源、处理路径、访问结构和风险缓释安排之中。</w:t>
      </w:r>
      <w:r>
        <w:rPr>
          <w:rFonts w:ascii="仿宋" w:eastAsia="仿宋" w:hAnsi="仿宋"/>
          <w:sz w:val="24"/>
          <w:lang w:eastAsia="zh-CN"/>
        </w:rPr>
        <w:t xml:space="preserve">Opinion 28/2024 </w:t>
      </w:r>
      <w:r>
        <w:rPr>
          <w:rFonts w:ascii="仿宋" w:eastAsia="仿宋" w:hAnsi="仿宋"/>
          <w:sz w:val="24"/>
          <w:lang w:eastAsia="zh-CN"/>
        </w:rPr>
        <w:t>对</w:t>
      </w:r>
      <w:r>
        <w:rPr>
          <w:rFonts w:ascii="仿宋" w:eastAsia="仿宋" w:hAnsi="仿宋"/>
          <w:sz w:val="24"/>
          <w:lang w:eastAsia="zh-CN"/>
        </w:rPr>
        <w:t xml:space="preserve"> AI </w:t>
      </w:r>
      <w:r>
        <w:rPr>
          <w:rFonts w:ascii="仿宋" w:eastAsia="仿宋" w:hAnsi="仿宋"/>
          <w:sz w:val="24"/>
          <w:lang w:eastAsia="zh-CN"/>
        </w:rPr>
        <w:t>模型匿名性、合法利益和违法处理后果的集中讨论，本身即表明欧盟已将此类连续性处理活动作为规范评价的重点对象。</w:t>
      </w:r>
    </w:p>
    <w:p w:rsidR="00D824B7" w:rsidRDefault="00457834">
      <w:pPr>
        <w:spacing w:line="420" w:lineRule="exact"/>
        <w:jc w:val="both"/>
        <w:rPr>
          <w:lang w:eastAsia="zh-CN"/>
        </w:rPr>
      </w:pPr>
      <w:r>
        <w:rPr>
          <w:rFonts w:ascii="仿宋" w:eastAsia="仿宋" w:hAnsi="仿宋"/>
          <w:sz w:val="24"/>
          <w:lang w:eastAsia="zh-CN"/>
        </w:rPr>
        <w:t>二、人工智能训练审查的前移及其合</w:t>
      </w:r>
      <w:proofErr w:type="gramStart"/>
      <w:r>
        <w:rPr>
          <w:rFonts w:ascii="仿宋" w:eastAsia="仿宋" w:hAnsi="仿宋"/>
          <w:sz w:val="24"/>
          <w:lang w:eastAsia="zh-CN"/>
        </w:rPr>
        <w:t>规</w:t>
      </w:r>
      <w:proofErr w:type="gramEnd"/>
      <w:r>
        <w:rPr>
          <w:rFonts w:ascii="仿宋" w:eastAsia="仿宋" w:hAnsi="仿宋"/>
          <w:sz w:val="24"/>
          <w:lang w:eastAsia="zh-CN"/>
        </w:rPr>
        <w:t>影响</w:t>
      </w:r>
    </w:p>
    <w:p w:rsidR="00D824B7" w:rsidRDefault="00457834">
      <w:pPr>
        <w:spacing w:line="420" w:lineRule="exact"/>
        <w:jc w:val="both"/>
        <w:rPr>
          <w:lang w:eastAsia="zh-CN"/>
        </w:rPr>
      </w:pPr>
      <w:r>
        <w:rPr>
          <w:rFonts w:ascii="仿宋" w:eastAsia="仿宋" w:hAnsi="仿宋"/>
          <w:sz w:val="24"/>
          <w:lang w:eastAsia="zh-CN"/>
        </w:rPr>
        <w:t xml:space="preserve">Meta AI </w:t>
      </w:r>
      <w:r>
        <w:rPr>
          <w:rFonts w:ascii="仿宋" w:eastAsia="仿宋" w:hAnsi="仿宋"/>
          <w:sz w:val="24"/>
          <w:lang w:eastAsia="zh-CN"/>
        </w:rPr>
        <w:t>事项首先显示出，欧盟监管机关已经将以社交平台公开内容训练大语言模型的活动纳入具体审查。根据爱尔兰数据保护委员会</w:t>
      </w:r>
      <w:r>
        <w:rPr>
          <w:rFonts w:ascii="仿宋" w:eastAsia="仿宋" w:hAnsi="仿宋"/>
          <w:sz w:val="24"/>
          <w:lang w:eastAsia="zh-CN"/>
        </w:rPr>
        <w:t>2025</w:t>
      </w:r>
      <w:r>
        <w:rPr>
          <w:rFonts w:ascii="仿宋" w:eastAsia="仿宋" w:hAnsi="仿宋"/>
          <w:sz w:val="24"/>
          <w:lang w:eastAsia="zh-CN"/>
        </w:rPr>
        <w:t>年</w:t>
      </w:r>
      <w:r>
        <w:rPr>
          <w:rFonts w:ascii="仿宋" w:eastAsia="仿宋" w:hAnsi="仿宋"/>
          <w:sz w:val="24"/>
          <w:lang w:eastAsia="zh-CN"/>
        </w:rPr>
        <w:t>5</w:t>
      </w:r>
      <w:r>
        <w:rPr>
          <w:rFonts w:ascii="仿宋" w:eastAsia="仿宋" w:hAnsi="仿宋"/>
          <w:sz w:val="24"/>
          <w:lang w:eastAsia="zh-CN"/>
        </w:rPr>
        <w:t>月发布的声明，</w:t>
      </w:r>
      <w:r>
        <w:rPr>
          <w:rFonts w:ascii="仿宋" w:eastAsia="仿宋" w:hAnsi="仿宋"/>
          <w:sz w:val="24"/>
          <w:lang w:eastAsia="zh-CN"/>
        </w:rPr>
        <w:t>Meta</w:t>
      </w:r>
      <w:r>
        <w:rPr>
          <w:rFonts w:ascii="仿宋" w:eastAsia="仿宋" w:hAnsi="仿宋"/>
          <w:sz w:val="24"/>
          <w:lang w:eastAsia="zh-CN"/>
        </w:rPr>
        <w:t>曾于</w:t>
      </w:r>
      <w:r>
        <w:rPr>
          <w:rFonts w:ascii="仿宋" w:eastAsia="仿宋" w:hAnsi="仿宋"/>
          <w:sz w:val="24"/>
          <w:lang w:eastAsia="zh-CN"/>
        </w:rPr>
        <w:t>2024</w:t>
      </w:r>
      <w:r>
        <w:rPr>
          <w:rFonts w:ascii="仿宋" w:eastAsia="仿宋" w:hAnsi="仿宋"/>
          <w:sz w:val="24"/>
          <w:lang w:eastAsia="zh-CN"/>
        </w:rPr>
        <w:t>年</w:t>
      </w:r>
      <w:r>
        <w:rPr>
          <w:rFonts w:ascii="仿宋" w:eastAsia="仿宋" w:hAnsi="仿宋"/>
          <w:sz w:val="24"/>
          <w:lang w:eastAsia="zh-CN"/>
        </w:rPr>
        <w:t>3</w:t>
      </w:r>
      <w:r>
        <w:rPr>
          <w:rFonts w:ascii="仿宋" w:eastAsia="仿宋" w:hAnsi="仿宋"/>
          <w:sz w:val="24"/>
          <w:lang w:eastAsia="zh-CN"/>
        </w:rPr>
        <w:t>月告知监管机关，其拟使用欧盟经济区成年人在</w:t>
      </w:r>
      <w:r>
        <w:rPr>
          <w:rFonts w:ascii="仿宋" w:eastAsia="仿宋" w:hAnsi="仿宋"/>
          <w:sz w:val="24"/>
          <w:lang w:eastAsia="zh-CN"/>
        </w:rPr>
        <w:t>Facebook</w:t>
      </w:r>
      <w:r>
        <w:rPr>
          <w:rFonts w:ascii="仿宋" w:eastAsia="仿宋" w:hAnsi="仿宋"/>
          <w:sz w:val="24"/>
          <w:lang w:eastAsia="zh-CN"/>
        </w:rPr>
        <w:t>和</w:t>
      </w:r>
      <w:r>
        <w:rPr>
          <w:rFonts w:ascii="仿宋" w:eastAsia="仿宋" w:hAnsi="仿宋"/>
          <w:sz w:val="24"/>
          <w:lang w:eastAsia="zh-CN"/>
        </w:rPr>
        <w:t>Instagram</w:t>
      </w:r>
      <w:r>
        <w:rPr>
          <w:rFonts w:ascii="仿宋" w:eastAsia="仿宋" w:hAnsi="仿宋"/>
          <w:sz w:val="24"/>
          <w:lang w:eastAsia="zh-CN"/>
        </w:rPr>
        <w:t>上</w:t>
      </w:r>
      <w:r>
        <w:rPr>
          <w:rFonts w:ascii="仿宋" w:eastAsia="仿宋" w:hAnsi="仿宋"/>
          <w:sz w:val="24"/>
          <w:lang w:eastAsia="zh-CN"/>
        </w:rPr>
        <w:t>的公开内容训练大语言模型。监管机关在初步沟通中识别出若干问题后，相关计划于同年</w:t>
      </w:r>
      <w:r>
        <w:rPr>
          <w:rFonts w:ascii="仿宋" w:eastAsia="仿宋" w:hAnsi="仿宋"/>
          <w:sz w:val="24"/>
          <w:lang w:eastAsia="zh-CN"/>
        </w:rPr>
        <w:t>6</w:t>
      </w:r>
      <w:r>
        <w:rPr>
          <w:rFonts w:ascii="仿宋" w:eastAsia="仿宋" w:hAnsi="仿宋"/>
          <w:sz w:val="24"/>
          <w:lang w:eastAsia="zh-CN"/>
        </w:rPr>
        <w:t>月暂停。待欧洲数据保护委员会于</w:t>
      </w:r>
      <w:r>
        <w:rPr>
          <w:rFonts w:ascii="仿宋" w:eastAsia="仿宋" w:hAnsi="仿宋"/>
          <w:sz w:val="24"/>
          <w:lang w:eastAsia="zh-CN"/>
        </w:rPr>
        <w:t>2024</w:t>
      </w:r>
      <w:r>
        <w:rPr>
          <w:rFonts w:ascii="仿宋" w:eastAsia="仿宋" w:hAnsi="仿宋"/>
          <w:sz w:val="24"/>
          <w:lang w:eastAsia="zh-CN"/>
        </w:rPr>
        <w:t>年</w:t>
      </w:r>
      <w:r>
        <w:rPr>
          <w:rFonts w:ascii="仿宋" w:eastAsia="仿宋" w:hAnsi="仿宋"/>
          <w:sz w:val="24"/>
          <w:lang w:eastAsia="zh-CN"/>
        </w:rPr>
        <w:t>12</w:t>
      </w:r>
      <w:r>
        <w:rPr>
          <w:rFonts w:ascii="仿宋" w:eastAsia="仿宋" w:hAnsi="仿宋"/>
          <w:sz w:val="24"/>
          <w:lang w:eastAsia="zh-CN"/>
        </w:rPr>
        <w:t>月</w:t>
      </w:r>
      <w:proofErr w:type="gramStart"/>
      <w:r>
        <w:rPr>
          <w:rFonts w:ascii="仿宋" w:eastAsia="仿宋" w:hAnsi="仿宋"/>
          <w:sz w:val="24"/>
          <w:lang w:eastAsia="zh-CN"/>
        </w:rPr>
        <w:t>作出</w:t>
      </w:r>
      <w:proofErr w:type="gramEnd"/>
      <w:r>
        <w:rPr>
          <w:rFonts w:ascii="仿宋" w:eastAsia="仿宋" w:hAnsi="仿宋"/>
          <w:sz w:val="24"/>
          <w:lang w:eastAsia="zh-CN"/>
        </w:rPr>
        <w:t>Opinion 28/2024</w:t>
      </w:r>
      <w:r>
        <w:rPr>
          <w:rFonts w:ascii="仿宋" w:eastAsia="仿宋" w:hAnsi="仿宋"/>
          <w:sz w:val="24"/>
          <w:lang w:eastAsia="zh-CN"/>
        </w:rPr>
        <w:t>后，</w:t>
      </w:r>
      <w:r>
        <w:rPr>
          <w:rFonts w:ascii="仿宋" w:eastAsia="仿宋" w:hAnsi="仿宋"/>
          <w:sz w:val="24"/>
          <w:lang w:eastAsia="zh-CN"/>
        </w:rPr>
        <w:t>Meta</w:t>
      </w:r>
      <w:r>
        <w:rPr>
          <w:rFonts w:ascii="仿宋" w:eastAsia="仿宋" w:hAnsi="仿宋"/>
          <w:sz w:val="24"/>
          <w:lang w:eastAsia="zh-CN"/>
        </w:rPr>
        <w:t>提交更新文件，爱尔兰数据保护委员会在审查后要求其调整通知安排、简化反对表单、延长通知期限，并确保用户能够在应用内有效行使反对权。</w:t>
      </w:r>
      <w:r>
        <w:rPr>
          <w:rFonts w:ascii="仿宋" w:eastAsia="仿宋" w:hAnsi="仿宋"/>
          <w:sz w:val="24"/>
          <w:lang w:eastAsia="zh-CN"/>
        </w:rPr>
        <w:t>Meta AI</w:t>
      </w:r>
      <w:r>
        <w:rPr>
          <w:rFonts w:ascii="仿宋" w:eastAsia="仿宋" w:hAnsi="仿宋"/>
          <w:sz w:val="24"/>
          <w:lang w:eastAsia="zh-CN"/>
        </w:rPr>
        <w:t>案表明，公开内容用于模型训练的再利用活动已进入</w:t>
      </w:r>
      <w:r>
        <w:rPr>
          <w:rFonts w:ascii="仿宋" w:eastAsia="仿宋" w:hAnsi="仿宋"/>
          <w:sz w:val="24"/>
          <w:lang w:eastAsia="zh-CN"/>
        </w:rPr>
        <w:t>GDPR</w:t>
      </w:r>
      <w:r>
        <w:rPr>
          <w:rFonts w:ascii="仿宋" w:eastAsia="仿宋" w:hAnsi="仿宋"/>
          <w:sz w:val="24"/>
          <w:lang w:eastAsia="zh-CN"/>
        </w:rPr>
        <w:t>既有规范框架下的具体审查。相关争点主要体现在三个方面。其一，成年人在社交媒体上</w:t>
      </w:r>
      <w:r>
        <w:rPr>
          <w:rFonts w:ascii="仿宋" w:eastAsia="仿宋" w:hAnsi="仿宋"/>
          <w:sz w:val="24"/>
          <w:lang w:eastAsia="zh-CN"/>
        </w:rPr>
        <w:lastRenderedPageBreak/>
        <w:t>公开发布内容，并不当然意味着控制者可以不受限制地将其转用于模型训练</w:t>
      </w:r>
      <w:r>
        <w:rPr>
          <w:rFonts w:ascii="仿宋" w:eastAsia="仿宋" w:hAnsi="仿宋"/>
          <w:sz w:val="24"/>
          <w:lang w:eastAsia="zh-CN"/>
        </w:rPr>
        <w:t>，相关再利用仍需接受目的限制与处理必要性的审查。其二，即使企业试图以合法利益作为处理基础，也仍需在信息主体合理预期、处理必要性与权利影响之间完成可被说明的利益衡量。其三，训练活动一旦进入大规模、持续性处理结构，信息义务与反对权便不再只是附属性安排，而会直接影响处理活动能否继续展开。监管机关对通知方式、反对表单、行权期限和应用内反对机制的具体要求，正表明模型训练已被视为需要在透明度、可反对性与风险缓释措施上接受独立评价的数据处理场景。</w:t>
      </w:r>
    </w:p>
    <w:p w:rsidR="00D824B7" w:rsidRDefault="00457834">
      <w:pPr>
        <w:spacing w:line="420" w:lineRule="exact"/>
        <w:jc w:val="both"/>
        <w:rPr>
          <w:lang w:eastAsia="zh-CN"/>
        </w:rPr>
      </w:pPr>
      <w:r>
        <w:rPr>
          <w:rFonts w:ascii="仿宋" w:eastAsia="仿宋" w:hAnsi="仿宋"/>
          <w:sz w:val="24"/>
          <w:lang w:eastAsia="zh-CN"/>
        </w:rPr>
        <w:t xml:space="preserve">DeepSeek </w:t>
      </w:r>
      <w:r>
        <w:rPr>
          <w:rFonts w:ascii="仿宋" w:eastAsia="仿宋" w:hAnsi="仿宋"/>
          <w:sz w:val="24"/>
          <w:lang w:eastAsia="zh-CN"/>
        </w:rPr>
        <w:t>事项则进一步将这一审查逻辑推进到中国生成式人工智能服务进</w:t>
      </w:r>
      <w:r>
        <w:rPr>
          <w:rFonts w:ascii="仿宋" w:eastAsia="仿宋" w:hAnsi="仿宋"/>
          <w:sz w:val="24"/>
          <w:lang w:eastAsia="zh-CN"/>
        </w:rPr>
        <w:t>入欧盟市场的场景。</w:t>
      </w:r>
      <w:r>
        <w:rPr>
          <w:rFonts w:ascii="仿宋" w:eastAsia="仿宋" w:hAnsi="仿宋"/>
          <w:sz w:val="24"/>
          <w:lang w:eastAsia="zh-CN"/>
        </w:rPr>
        <w:t>2025</w:t>
      </w:r>
      <w:r>
        <w:rPr>
          <w:rFonts w:ascii="仿宋" w:eastAsia="仿宋" w:hAnsi="仿宋"/>
          <w:sz w:val="24"/>
          <w:lang w:eastAsia="zh-CN"/>
        </w:rPr>
        <w:t>年</w:t>
      </w:r>
      <w:r>
        <w:rPr>
          <w:rFonts w:ascii="仿宋" w:eastAsia="仿宋" w:hAnsi="仿宋"/>
          <w:sz w:val="24"/>
          <w:lang w:eastAsia="zh-CN"/>
        </w:rPr>
        <w:t>1</w:t>
      </w:r>
      <w:r>
        <w:rPr>
          <w:rFonts w:ascii="仿宋" w:eastAsia="仿宋" w:hAnsi="仿宋"/>
          <w:sz w:val="24"/>
          <w:lang w:eastAsia="zh-CN"/>
        </w:rPr>
        <w:t>月</w:t>
      </w:r>
      <w:r>
        <w:rPr>
          <w:rFonts w:ascii="仿宋" w:eastAsia="仿宋" w:hAnsi="仿宋"/>
          <w:sz w:val="24"/>
          <w:lang w:eastAsia="zh-CN"/>
        </w:rPr>
        <w:t>28</w:t>
      </w:r>
      <w:r>
        <w:rPr>
          <w:rFonts w:ascii="仿宋" w:eastAsia="仿宋" w:hAnsi="仿宋"/>
          <w:sz w:val="24"/>
          <w:lang w:eastAsia="zh-CN"/>
        </w:rPr>
        <w:t>日，意大利监管机关要求</w:t>
      </w:r>
      <w:r>
        <w:rPr>
          <w:rFonts w:ascii="仿宋" w:eastAsia="仿宋" w:hAnsi="仿宋"/>
          <w:sz w:val="24"/>
          <w:lang w:eastAsia="zh-CN"/>
        </w:rPr>
        <w:t>DeepSeek</w:t>
      </w:r>
      <w:r>
        <w:rPr>
          <w:rFonts w:ascii="仿宋" w:eastAsia="仿宋" w:hAnsi="仿宋"/>
          <w:sz w:val="24"/>
          <w:lang w:eastAsia="zh-CN"/>
        </w:rPr>
        <w:t>相关公司说明所收集的个人数据类型、数据来源、处理目的与法律基础、数据是否存储于中国服务器，以及用于训练人工智能系统的信息类型和网络抓取场景中的告知安排。</w:t>
      </w:r>
      <w:r>
        <w:rPr>
          <w:rFonts w:ascii="仿宋" w:eastAsia="仿宋" w:hAnsi="仿宋"/>
          <w:sz w:val="24"/>
          <w:lang w:eastAsia="zh-CN"/>
        </w:rPr>
        <w:t>1</w:t>
      </w:r>
      <w:r>
        <w:rPr>
          <w:rFonts w:ascii="仿宋" w:eastAsia="仿宋" w:hAnsi="仿宋"/>
          <w:sz w:val="24"/>
          <w:lang w:eastAsia="zh-CN"/>
        </w:rPr>
        <w:t>月</w:t>
      </w:r>
      <w:r>
        <w:rPr>
          <w:rFonts w:ascii="仿宋" w:eastAsia="仿宋" w:hAnsi="仿宋"/>
          <w:sz w:val="24"/>
          <w:lang w:eastAsia="zh-CN"/>
        </w:rPr>
        <w:t>30</w:t>
      </w:r>
      <w:r>
        <w:rPr>
          <w:rFonts w:ascii="仿宋" w:eastAsia="仿宋" w:hAnsi="仿宋"/>
          <w:sz w:val="24"/>
          <w:lang w:eastAsia="zh-CN"/>
        </w:rPr>
        <w:t>日，该机关以紧急方式限制相关公司处理意大利用户数据，并指出先前回应并不充分，同时启动调查。由此可见，欧盟监管机关对生成式人工智能服务的审查，已经不再满足于企业在上线后作出一般性解释，而是将域外适用、法律基础、信息义务与权利保障作为进入市场之前即应说明的问题。该决定认定，相关服务</w:t>
      </w:r>
      <w:r>
        <w:rPr>
          <w:rFonts w:ascii="仿宋" w:eastAsia="仿宋" w:hAnsi="仿宋"/>
          <w:sz w:val="24"/>
          <w:lang w:eastAsia="zh-CN"/>
        </w:rPr>
        <w:t>面向意大利境内数据主体提供，应受</w:t>
      </w:r>
      <w:r>
        <w:rPr>
          <w:rFonts w:ascii="仿宋" w:eastAsia="仿宋" w:hAnsi="仿宋"/>
          <w:sz w:val="24"/>
          <w:lang w:eastAsia="zh-CN"/>
        </w:rPr>
        <w:t>GDPR</w:t>
      </w:r>
      <w:r>
        <w:rPr>
          <w:rFonts w:ascii="仿宋" w:eastAsia="仿宋" w:hAnsi="仿宋"/>
          <w:sz w:val="24"/>
          <w:lang w:eastAsia="zh-CN"/>
        </w:rPr>
        <w:t>第</w:t>
      </w:r>
      <w:r>
        <w:rPr>
          <w:rFonts w:ascii="仿宋" w:eastAsia="仿宋" w:hAnsi="仿宋"/>
          <w:sz w:val="24"/>
          <w:lang w:eastAsia="zh-CN"/>
        </w:rPr>
        <w:t>3</w:t>
      </w:r>
      <w:r>
        <w:rPr>
          <w:rFonts w:ascii="仿宋" w:eastAsia="仿宋" w:hAnsi="仿宋"/>
          <w:sz w:val="24"/>
          <w:lang w:eastAsia="zh-CN"/>
        </w:rPr>
        <w:t>条第</w:t>
      </w:r>
      <w:r>
        <w:rPr>
          <w:rFonts w:ascii="仿宋" w:eastAsia="仿宋" w:hAnsi="仿宋"/>
          <w:sz w:val="24"/>
          <w:lang w:eastAsia="zh-CN"/>
        </w:rPr>
        <w:t>2</w:t>
      </w:r>
      <w:r>
        <w:rPr>
          <w:rFonts w:ascii="仿宋" w:eastAsia="仿宋" w:hAnsi="仿宋"/>
          <w:sz w:val="24"/>
          <w:lang w:eastAsia="zh-CN"/>
        </w:rPr>
        <w:t>款调整。相关隐私政策未能精确说明各项处理活动的合法性条件，涉及第</w:t>
      </w:r>
      <w:r>
        <w:rPr>
          <w:rFonts w:ascii="仿宋" w:eastAsia="仿宋" w:hAnsi="仿宋"/>
          <w:sz w:val="24"/>
          <w:lang w:eastAsia="zh-CN"/>
        </w:rPr>
        <w:t>6</w:t>
      </w:r>
      <w:r>
        <w:rPr>
          <w:rFonts w:ascii="仿宋" w:eastAsia="仿宋" w:hAnsi="仿宋"/>
          <w:sz w:val="24"/>
          <w:lang w:eastAsia="zh-CN"/>
        </w:rPr>
        <w:t>条意义上的法律基础缺陷。信息不足同时影响数据主体权利的实现，涉及第</w:t>
      </w:r>
      <w:r>
        <w:rPr>
          <w:rFonts w:ascii="仿宋" w:eastAsia="仿宋" w:hAnsi="仿宋"/>
          <w:sz w:val="24"/>
          <w:lang w:eastAsia="zh-CN"/>
        </w:rPr>
        <w:t>12</w:t>
      </w:r>
      <w:r>
        <w:rPr>
          <w:rFonts w:ascii="仿宋" w:eastAsia="仿宋" w:hAnsi="仿宋"/>
          <w:sz w:val="24"/>
          <w:lang w:eastAsia="zh-CN"/>
        </w:rPr>
        <w:t>条至第</w:t>
      </w:r>
      <w:r>
        <w:rPr>
          <w:rFonts w:ascii="仿宋" w:eastAsia="仿宋" w:hAnsi="仿宋"/>
          <w:sz w:val="24"/>
          <w:lang w:eastAsia="zh-CN"/>
        </w:rPr>
        <w:t>14</w:t>
      </w:r>
      <w:r>
        <w:rPr>
          <w:rFonts w:ascii="仿宋" w:eastAsia="仿宋" w:hAnsi="仿宋"/>
          <w:sz w:val="24"/>
          <w:lang w:eastAsia="zh-CN"/>
        </w:rPr>
        <w:t>条及第三章的要求。企业未指定代表，还触及第</w:t>
      </w:r>
      <w:r>
        <w:rPr>
          <w:rFonts w:ascii="仿宋" w:eastAsia="仿宋" w:hAnsi="仿宋"/>
          <w:sz w:val="24"/>
          <w:lang w:eastAsia="zh-CN"/>
        </w:rPr>
        <w:t>27</w:t>
      </w:r>
      <w:r>
        <w:rPr>
          <w:rFonts w:ascii="仿宋" w:eastAsia="仿宋" w:hAnsi="仿宋"/>
          <w:sz w:val="24"/>
          <w:lang w:eastAsia="zh-CN"/>
        </w:rPr>
        <w:t>条义务。</w:t>
      </w:r>
      <w:r>
        <w:rPr>
          <w:rFonts w:ascii="仿宋" w:eastAsia="仿宋" w:hAnsi="仿宋"/>
          <w:sz w:val="24"/>
          <w:lang w:eastAsia="zh-CN"/>
        </w:rPr>
        <w:t xml:space="preserve">DeepSeek </w:t>
      </w:r>
      <w:r>
        <w:rPr>
          <w:rFonts w:ascii="仿宋" w:eastAsia="仿宋" w:hAnsi="仿宋"/>
          <w:sz w:val="24"/>
          <w:lang w:eastAsia="zh-CN"/>
        </w:rPr>
        <w:t>案的重点在于监管机关通过紧急限制措施表明，生成式人工智能服务一旦无法在域外适用、处理合法性和权利保障上形成最低限度的可验证说明，其处理活动本身即可被认定为违法并受到即时限制。</w:t>
      </w:r>
    </w:p>
    <w:p w:rsidR="00D824B7" w:rsidRDefault="00457834">
      <w:pPr>
        <w:spacing w:line="420" w:lineRule="exact"/>
        <w:jc w:val="both"/>
        <w:rPr>
          <w:lang w:eastAsia="zh-CN"/>
        </w:rPr>
      </w:pPr>
      <w:r>
        <w:rPr>
          <w:rFonts w:ascii="仿宋" w:eastAsia="仿宋" w:hAnsi="仿宋"/>
          <w:sz w:val="24"/>
          <w:lang w:eastAsia="zh-CN"/>
        </w:rPr>
        <w:t>对于以模型训练、持续部署和持续优化为主要特征的技术业务而言，上述两</w:t>
      </w:r>
      <w:proofErr w:type="gramStart"/>
      <w:r>
        <w:rPr>
          <w:rFonts w:ascii="仿宋" w:eastAsia="仿宋" w:hAnsi="仿宋"/>
          <w:sz w:val="24"/>
          <w:lang w:eastAsia="zh-CN"/>
        </w:rPr>
        <w:t>案</w:t>
      </w:r>
      <w:r>
        <w:rPr>
          <w:rFonts w:ascii="仿宋" w:eastAsia="仿宋" w:hAnsi="仿宋"/>
          <w:sz w:val="24"/>
          <w:lang w:eastAsia="zh-CN"/>
        </w:rPr>
        <w:t>共同</w:t>
      </w:r>
      <w:proofErr w:type="gramEnd"/>
      <w:r>
        <w:rPr>
          <w:rFonts w:ascii="仿宋" w:eastAsia="仿宋" w:hAnsi="仿宋"/>
          <w:sz w:val="24"/>
          <w:lang w:eastAsia="zh-CN"/>
        </w:rPr>
        <w:t>说明，训练活动已经难以继续被理解为研发环节中的纯技术事项，而成为需要在开发阶段即被识别、评估、记录并能够接受外部审查的数据处理事项。相应地，合</w:t>
      </w:r>
      <w:proofErr w:type="gramStart"/>
      <w:r>
        <w:rPr>
          <w:rFonts w:ascii="仿宋" w:eastAsia="仿宋" w:hAnsi="仿宋"/>
          <w:sz w:val="24"/>
          <w:lang w:eastAsia="zh-CN"/>
        </w:rPr>
        <w:t>规</w:t>
      </w:r>
      <w:proofErr w:type="gramEnd"/>
      <w:r>
        <w:rPr>
          <w:rFonts w:ascii="仿宋" w:eastAsia="仿宋" w:hAnsi="仿宋"/>
          <w:sz w:val="24"/>
          <w:lang w:eastAsia="zh-CN"/>
        </w:rPr>
        <w:t>工作的起点也不宜再放在产品上线之后，而应提前到模型开发和进入市场之前。</w:t>
      </w:r>
      <w:r>
        <w:rPr>
          <w:rFonts w:ascii="仿宋" w:eastAsia="仿宋" w:hAnsi="仿宋"/>
          <w:sz w:val="24"/>
          <w:lang w:eastAsia="zh-CN"/>
        </w:rPr>
        <w:t xml:space="preserve">Opinion 28/2024 </w:t>
      </w:r>
      <w:r>
        <w:rPr>
          <w:rFonts w:ascii="仿宋" w:eastAsia="仿宋" w:hAnsi="仿宋"/>
          <w:sz w:val="24"/>
          <w:lang w:eastAsia="zh-CN"/>
        </w:rPr>
        <w:t>对开发阶段与部署阶段的区分，正为这一前移式审查提供了规范基础。</w:t>
      </w:r>
    </w:p>
    <w:p w:rsidR="00D824B7" w:rsidRDefault="00457834">
      <w:pPr>
        <w:spacing w:line="420" w:lineRule="exact"/>
        <w:jc w:val="both"/>
        <w:rPr>
          <w:lang w:eastAsia="zh-CN"/>
        </w:rPr>
      </w:pPr>
      <w:r>
        <w:rPr>
          <w:rFonts w:ascii="仿宋" w:eastAsia="仿宋" w:hAnsi="仿宋"/>
          <w:sz w:val="24"/>
          <w:lang w:eastAsia="zh-CN"/>
        </w:rPr>
        <w:t>三、对华远程访问控制与跨境数据流审查的重构</w:t>
      </w:r>
    </w:p>
    <w:p w:rsidR="00D824B7" w:rsidRDefault="00457834">
      <w:pPr>
        <w:spacing w:line="420" w:lineRule="exact"/>
        <w:jc w:val="both"/>
        <w:rPr>
          <w:lang w:eastAsia="zh-CN"/>
        </w:rPr>
      </w:pPr>
      <w:r>
        <w:rPr>
          <w:rFonts w:ascii="仿宋" w:eastAsia="仿宋" w:hAnsi="仿宋"/>
          <w:sz w:val="24"/>
          <w:lang w:eastAsia="zh-CN"/>
        </w:rPr>
        <w:lastRenderedPageBreak/>
        <w:t xml:space="preserve">TikTok </w:t>
      </w:r>
      <w:r>
        <w:rPr>
          <w:rFonts w:ascii="仿宋" w:eastAsia="仿宋" w:hAnsi="仿宋"/>
          <w:sz w:val="24"/>
          <w:lang w:eastAsia="zh-CN"/>
        </w:rPr>
        <w:t>案首先表明，欧盟监管机关已经将第三国人员通过远程访问方式接触欧洲经济区用户数据的情形，纳入跨境转移审查范围。根据爱尔兰数据保护委员会于</w:t>
      </w:r>
      <w:r>
        <w:rPr>
          <w:rFonts w:ascii="仿宋" w:eastAsia="仿宋" w:hAnsi="仿宋"/>
          <w:sz w:val="24"/>
          <w:lang w:eastAsia="zh-CN"/>
        </w:rPr>
        <w:t>202</w:t>
      </w:r>
      <w:r>
        <w:rPr>
          <w:rFonts w:ascii="仿宋" w:eastAsia="仿宋" w:hAnsi="仿宋"/>
          <w:sz w:val="24"/>
          <w:lang w:eastAsia="zh-CN"/>
        </w:rPr>
        <w:t>5</w:t>
      </w:r>
      <w:r>
        <w:rPr>
          <w:rFonts w:ascii="仿宋" w:eastAsia="仿宋" w:hAnsi="仿宋"/>
          <w:sz w:val="24"/>
          <w:lang w:eastAsia="zh-CN"/>
        </w:rPr>
        <w:t>年</w:t>
      </w:r>
      <w:r>
        <w:rPr>
          <w:rFonts w:ascii="仿宋" w:eastAsia="仿宋" w:hAnsi="仿宋"/>
          <w:sz w:val="24"/>
          <w:lang w:eastAsia="zh-CN"/>
        </w:rPr>
        <w:t>5</w:t>
      </w:r>
      <w:r>
        <w:rPr>
          <w:rFonts w:ascii="仿宋" w:eastAsia="仿宋" w:hAnsi="仿宋"/>
          <w:sz w:val="24"/>
          <w:lang w:eastAsia="zh-CN"/>
        </w:rPr>
        <w:t>月公布的决定及其摘要，本案所审查的并非</w:t>
      </w:r>
      <w:r>
        <w:rPr>
          <w:rFonts w:ascii="仿宋" w:eastAsia="仿宋" w:hAnsi="仿宋"/>
          <w:sz w:val="24"/>
          <w:lang w:eastAsia="zh-CN"/>
        </w:rPr>
        <w:t xml:space="preserve"> EEA </w:t>
      </w:r>
      <w:r>
        <w:rPr>
          <w:rFonts w:ascii="仿宋" w:eastAsia="仿宋" w:hAnsi="仿宋"/>
          <w:sz w:val="24"/>
          <w:lang w:eastAsia="zh-CN"/>
        </w:rPr>
        <w:t>用户数据被直接存储于中国服务器的情形，而是中国境内字节跳动集团人员通过远程访问方式接触存储于中国境外服务器上的</w:t>
      </w:r>
      <w:r>
        <w:rPr>
          <w:rFonts w:ascii="仿宋" w:eastAsia="仿宋" w:hAnsi="仿宋"/>
          <w:sz w:val="24"/>
          <w:lang w:eastAsia="zh-CN"/>
        </w:rPr>
        <w:t>EEA</w:t>
      </w:r>
      <w:r>
        <w:rPr>
          <w:rFonts w:ascii="仿宋" w:eastAsia="仿宋" w:hAnsi="仿宋"/>
          <w:sz w:val="24"/>
          <w:lang w:eastAsia="zh-CN"/>
        </w:rPr>
        <w:t>用户数据。监管机关同时审查了</w:t>
      </w:r>
      <w:r>
        <w:rPr>
          <w:rFonts w:ascii="仿宋" w:eastAsia="仿宋" w:hAnsi="仿宋"/>
          <w:sz w:val="24"/>
          <w:lang w:eastAsia="zh-CN"/>
        </w:rPr>
        <w:t>TikTok</w:t>
      </w:r>
      <w:r>
        <w:rPr>
          <w:rFonts w:ascii="仿宋" w:eastAsia="仿宋" w:hAnsi="仿宋"/>
          <w:sz w:val="24"/>
          <w:lang w:eastAsia="zh-CN"/>
        </w:rPr>
        <w:t>就该等转移向数据主体提供的信息是否符合</w:t>
      </w:r>
      <w:r>
        <w:rPr>
          <w:rFonts w:ascii="仿宋" w:eastAsia="仿宋" w:hAnsi="仿宋"/>
          <w:sz w:val="24"/>
          <w:lang w:eastAsia="zh-CN"/>
        </w:rPr>
        <w:t>GDPR</w:t>
      </w:r>
      <w:r>
        <w:rPr>
          <w:rFonts w:ascii="仿宋" w:eastAsia="仿宋" w:hAnsi="仿宋"/>
          <w:sz w:val="24"/>
          <w:lang w:eastAsia="zh-CN"/>
        </w:rPr>
        <w:t>的透明度要求。最终，</w:t>
      </w:r>
      <w:r>
        <w:rPr>
          <w:rFonts w:ascii="仿宋" w:eastAsia="仿宋" w:hAnsi="仿宋"/>
          <w:sz w:val="24"/>
          <w:lang w:eastAsia="zh-CN"/>
        </w:rPr>
        <w:t>DPC</w:t>
      </w:r>
      <w:r>
        <w:rPr>
          <w:rFonts w:ascii="仿宋" w:eastAsia="仿宋" w:hAnsi="仿宋"/>
          <w:sz w:val="24"/>
          <w:lang w:eastAsia="zh-CN"/>
        </w:rPr>
        <w:t>认定</w:t>
      </w:r>
      <w:r>
        <w:rPr>
          <w:rFonts w:ascii="仿宋" w:eastAsia="仿宋" w:hAnsi="仿宋"/>
          <w:sz w:val="24"/>
          <w:lang w:eastAsia="zh-CN"/>
        </w:rPr>
        <w:t xml:space="preserve"> TikTok </w:t>
      </w:r>
      <w:r>
        <w:rPr>
          <w:rFonts w:ascii="仿宋" w:eastAsia="仿宋" w:hAnsi="仿宋"/>
          <w:sz w:val="24"/>
          <w:lang w:eastAsia="zh-CN"/>
        </w:rPr>
        <w:t>在向中国转移</w:t>
      </w:r>
      <w:r>
        <w:rPr>
          <w:rFonts w:ascii="仿宋" w:eastAsia="仿宋" w:hAnsi="仿宋"/>
          <w:sz w:val="24"/>
          <w:lang w:eastAsia="zh-CN"/>
        </w:rPr>
        <w:t>EEA</w:t>
      </w:r>
      <w:r>
        <w:rPr>
          <w:rFonts w:ascii="仿宋" w:eastAsia="仿宋" w:hAnsi="仿宋"/>
          <w:sz w:val="24"/>
          <w:lang w:eastAsia="zh-CN"/>
        </w:rPr>
        <w:t>用户数据以及履行透明度义务方面违反</w:t>
      </w:r>
      <w:r>
        <w:rPr>
          <w:rFonts w:ascii="仿宋" w:eastAsia="仿宋" w:hAnsi="仿宋"/>
          <w:sz w:val="24"/>
          <w:lang w:eastAsia="zh-CN"/>
        </w:rPr>
        <w:t>GDPR</w:t>
      </w:r>
      <w:r>
        <w:rPr>
          <w:rFonts w:ascii="仿宋" w:eastAsia="仿宋" w:hAnsi="仿宋"/>
          <w:sz w:val="24"/>
          <w:lang w:eastAsia="zh-CN"/>
        </w:rPr>
        <w:t>，并处以总额</w:t>
      </w:r>
      <w:r>
        <w:rPr>
          <w:rFonts w:ascii="仿宋" w:eastAsia="仿宋" w:hAnsi="仿宋"/>
          <w:sz w:val="24"/>
          <w:lang w:eastAsia="zh-CN"/>
        </w:rPr>
        <w:t xml:space="preserve"> 5.3 </w:t>
      </w:r>
      <w:r>
        <w:rPr>
          <w:rFonts w:ascii="仿宋" w:eastAsia="仿宋" w:hAnsi="仿宋"/>
          <w:sz w:val="24"/>
          <w:lang w:eastAsia="zh-CN"/>
        </w:rPr>
        <w:t>亿欧元罚款，同时责令其在六个月内完成整改，否则将暂停相关转移。</w:t>
      </w:r>
    </w:p>
    <w:p w:rsidR="00D824B7" w:rsidRDefault="00457834">
      <w:pPr>
        <w:spacing w:line="420" w:lineRule="exact"/>
        <w:jc w:val="both"/>
        <w:rPr>
          <w:lang w:eastAsia="zh-CN"/>
        </w:rPr>
      </w:pPr>
      <w:r>
        <w:rPr>
          <w:rFonts w:ascii="仿宋" w:eastAsia="仿宋" w:hAnsi="仿宋"/>
          <w:sz w:val="24"/>
          <w:lang w:eastAsia="zh-CN"/>
        </w:rPr>
        <w:t>该案明确表明，</w:t>
      </w:r>
      <w:r>
        <w:rPr>
          <w:rFonts w:ascii="仿宋" w:eastAsia="仿宋" w:hAnsi="仿宋"/>
          <w:sz w:val="24"/>
          <w:lang w:eastAsia="zh-CN"/>
        </w:rPr>
        <w:t xml:space="preserve">GDPR </w:t>
      </w:r>
      <w:r>
        <w:rPr>
          <w:rFonts w:ascii="仿宋" w:eastAsia="仿宋" w:hAnsi="仿宋"/>
          <w:sz w:val="24"/>
          <w:lang w:eastAsia="zh-CN"/>
        </w:rPr>
        <w:t>第五章下的转移控制并不限于传统意义上的数</w:t>
      </w:r>
      <w:r>
        <w:rPr>
          <w:rFonts w:ascii="仿宋" w:eastAsia="仿宋" w:hAnsi="仿宋"/>
          <w:sz w:val="24"/>
          <w:lang w:eastAsia="zh-CN"/>
        </w:rPr>
        <w:t>据发送或服务器迁移，而可以覆盖第三国人员通过远程访问接触欧洲经济区用户数据的情形。</w:t>
      </w:r>
      <w:r>
        <w:rPr>
          <w:rFonts w:ascii="仿宋" w:eastAsia="仿宋" w:hAnsi="仿宋"/>
          <w:sz w:val="24"/>
          <w:lang w:eastAsia="zh-CN"/>
        </w:rPr>
        <w:t xml:space="preserve">DPC </w:t>
      </w:r>
      <w:r>
        <w:rPr>
          <w:rFonts w:ascii="仿宋" w:eastAsia="仿宋" w:hAnsi="仿宋"/>
          <w:sz w:val="24"/>
          <w:lang w:eastAsia="zh-CN"/>
        </w:rPr>
        <w:t>在该案中所审查的，不只是数据是否被存储于中国，而是远程访问是否构成第</w:t>
      </w:r>
      <w:r>
        <w:rPr>
          <w:rFonts w:ascii="仿宋" w:eastAsia="仿宋" w:hAnsi="仿宋"/>
          <w:sz w:val="24"/>
          <w:lang w:eastAsia="zh-CN"/>
        </w:rPr>
        <w:t>46</w:t>
      </w:r>
      <w:r>
        <w:rPr>
          <w:rFonts w:ascii="仿宋" w:eastAsia="仿宋" w:hAnsi="仿宋"/>
          <w:sz w:val="24"/>
          <w:lang w:eastAsia="zh-CN"/>
        </w:rPr>
        <w:t>条意义上的转移，企业所依赖的标准合同条款与补充措施能否在第三国法律环境下维持与欧盟实质等同的保护，以及企业是否依第</w:t>
      </w:r>
      <w:r>
        <w:rPr>
          <w:rFonts w:ascii="仿宋" w:eastAsia="仿宋" w:hAnsi="仿宋"/>
          <w:sz w:val="24"/>
          <w:lang w:eastAsia="zh-CN"/>
        </w:rPr>
        <w:t>13</w:t>
      </w:r>
      <w:r>
        <w:rPr>
          <w:rFonts w:ascii="仿宋" w:eastAsia="仿宋" w:hAnsi="仿宋"/>
          <w:sz w:val="24"/>
          <w:lang w:eastAsia="zh-CN"/>
        </w:rPr>
        <w:t>条第</w:t>
      </w:r>
      <w:r>
        <w:rPr>
          <w:rFonts w:ascii="仿宋" w:eastAsia="仿宋" w:hAnsi="仿宋"/>
          <w:sz w:val="24"/>
          <w:lang w:eastAsia="zh-CN"/>
        </w:rPr>
        <w:t>1</w:t>
      </w:r>
      <w:r>
        <w:rPr>
          <w:rFonts w:ascii="仿宋" w:eastAsia="仿宋" w:hAnsi="仿宋"/>
          <w:sz w:val="24"/>
          <w:lang w:eastAsia="zh-CN"/>
        </w:rPr>
        <w:t>款第</w:t>
      </w:r>
      <w:r>
        <w:rPr>
          <w:rFonts w:ascii="仿宋" w:eastAsia="仿宋" w:hAnsi="仿宋"/>
          <w:sz w:val="24"/>
          <w:lang w:eastAsia="zh-CN"/>
        </w:rPr>
        <w:t>f</w:t>
      </w:r>
      <w:proofErr w:type="gramStart"/>
      <w:r>
        <w:rPr>
          <w:rFonts w:ascii="仿宋" w:eastAsia="仿宋" w:hAnsi="仿宋"/>
          <w:sz w:val="24"/>
          <w:lang w:eastAsia="zh-CN"/>
        </w:rPr>
        <w:t>项充分</w:t>
      </w:r>
      <w:proofErr w:type="gramEnd"/>
      <w:r>
        <w:rPr>
          <w:rFonts w:ascii="仿宋" w:eastAsia="仿宋" w:hAnsi="仿宋"/>
          <w:sz w:val="24"/>
          <w:lang w:eastAsia="zh-CN"/>
        </w:rPr>
        <w:t>告知数据主体相关转移安排。由此，</w:t>
      </w:r>
      <w:r>
        <w:rPr>
          <w:rFonts w:ascii="仿宋" w:eastAsia="仿宋" w:hAnsi="仿宋"/>
          <w:sz w:val="24"/>
          <w:lang w:eastAsia="zh-CN"/>
        </w:rPr>
        <w:t>“TikTok</w:t>
      </w:r>
      <w:r>
        <w:rPr>
          <w:rFonts w:ascii="仿宋" w:eastAsia="仿宋" w:hAnsi="仿宋"/>
          <w:sz w:val="24"/>
          <w:lang w:eastAsia="zh-CN"/>
        </w:rPr>
        <w:t>案</w:t>
      </w:r>
      <w:r>
        <w:rPr>
          <w:rFonts w:ascii="仿宋" w:eastAsia="仿宋" w:hAnsi="仿宋"/>
          <w:sz w:val="24"/>
          <w:lang w:eastAsia="zh-CN"/>
        </w:rPr>
        <w:t>”</w:t>
      </w:r>
      <w:r>
        <w:rPr>
          <w:rFonts w:ascii="仿宋" w:eastAsia="仿宋" w:hAnsi="仿宋"/>
          <w:sz w:val="24"/>
          <w:lang w:eastAsia="zh-CN"/>
        </w:rPr>
        <w:t>使得远程访问、权限控制、补充措施以及第三国法律环境评估纳入</w:t>
      </w:r>
      <w:r>
        <w:rPr>
          <w:rFonts w:ascii="仿宋" w:eastAsia="仿宋" w:hAnsi="仿宋"/>
          <w:sz w:val="24"/>
          <w:lang w:eastAsia="zh-CN"/>
        </w:rPr>
        <w:t>GDPR</w:t>
      </w:r>
      <w:r>
        <w:rPr>
          <w:rFonts w:ascii="仿宋" w:eastAsia="仿宋" w:hAnsi="仿宋"/>
          <w:sz w:val="24"/>
          <w:lang w:eastAsia="zh-CN"/>
        </w:rPr>
        <w:t>第五章的规范评价框架，并使跨境数据合</w:t>
      </w:r>
      <w:proofErr w:type="gramStart"/>
      <w:r>
        <w:rPr>
          <w:rFonts w:ascii="仿宋" w:eastAsia="仿宋" w:hAnsi="仿宋"/>
          <w:sz w:val="24"/>
          <w:lang w:eastAsia="zh-CN"/>
        </w:rPr>
        <w:t>规</w:t>
      </w:r>
      <w:proofErr w:type="gramEnd"/>
      <w:r>
        <w:rPr>
          <w:rFonts w:ascii="仿宋" w:eastAsia="仿宋" w:hAnsi="仿宋"/>
          <w:sz w:val="24"/>
          <w:lang w:eastAsia="zh-CN"/>
        </w:rPr>
        <w:t>审查进一步转向访问控制与保护水平判断。该变化的重要性在于，其</w:t>
      </w:r>
      <w:r>
        <w:rPr>
          <w:rFonts w:ascii="仿宋" w:eastAsia="仿宋" w:hAnsi="仿宋"/>
          <w:sz w:val="24"/>
          <w:lang w:eastAsia="zh-CN"/>
        </w:rPr>
        <w:t>使得跨境数据流问题由传统的传输安排问题转化为远程访问控制与内部控制问题。数据是否物理留存在欧洲境内，仍然重要，但已不再构成判断合</w:t>
      </w:r>
      <w:proofErr w:type="gramStart"/>
      <w:r>
        <w:rPr>
          <w:rFonts w:ascii="仿宋" w:eastAsia="仿宋" w:hAnsi="仿宋"/>
          <w:sz w:val="24"/>
          <w:lang w:eastAsia="zh-CN"/>
        </w:rPr>
        <w:t>规</w:t>
      </w:r>
      <w:proofErr w:type="gramEnd"/>
      <w:r>
        <w:rPr>
          <w:rFonts w:ascii="仿宋" w:eastAsia="仿宋" w:hAnsi="仿宋"/>
          <w:sz w:val="24"/>
          <w:lang w:eastAsia="zh-CN"/>
        </w:rPr>
        <w:t>与否的唯一关键。只要第三国人员能够通过远程访问方式接触欧洲经济区用户数据，相关活动就可能进入欧盟关于跨境数据流的审查范围。此时，监管机关进一步追问的，便不只是企业是否部署本地服务器、是否签署标准合同条款，而是访问路径是否清晰，权限配置是否符合最小必要要求，日志是否完整留存，内部共享是否受到有效限制，以及企业是否就第三国法律环境进行了充分评估。</w:t>
      </w:r>
      <w:r>
        <w:rPr>
          <w:rFonts w:ascii="仿宋" w:eastAsia="仿宋" w:hAnsi="仿宋"/>
          <w:sz w:val="24"/>
          <w:lang w:eastAsia="zh-CN"/>
        </w:rPr>
        <w:t xml:space="preserve">TikTok </w:t>
      </w:r>
      <w:r>
        <w:rPr>
          <w:rFonts w:ascii="仿宋" w:eastAsia="仿宋" w:hAnsi="仿宋"/>
          <w:sz w:val="24"/>
          <w:lang w:eastAsia="zh-CN"/>
        </w:rPr>
        <w:t>决定摘要特别指出，</w:t>
      </w:r>
      <w:r>
        <w:rPr>
          <w:rFonts w:ascii="仿宋" w:eastAsia="仿宋" w:hAnsi="仿宋"/>
          <w:sz w:val="24"/>
          <w:lang w:eastAsia="zh-CN"/>
        </w:rPr>
        <w:t>Tik</w:t>
      </w:r>
      <w:r>
        <w:rPr>
          <w:rFonts w:ascii="仿宋" w:eastAsia="仿宋" w:hAnsi="仿宋"/>
          <w:sz w:val="24"/>
          <w:lang w:eastAsia="zh-CN"/>
        </w:rPr>
        <w:t xml:space="preserve">Tok </w:t>
      </w:r>
      <w:r>
        <w:rPr>
          <w:rFonts w:ascii="仿宋" w:eastAsia="仿宋" w:hAnsi="仿宋"/>
          <w:sz w:val="24"/>
          <w:lang w:eastAsia="zh-CN"/>
        </w:rPr>
        <w:t>未能验证、保证并证明其</w:t>
      </w:r>
      <w:r>
        <w:rPr>
          <w:rFonts w:ascii="仿宋" w:eastAsia="仿宋" w:hAnsi="仿宋"/>
          <w:sz w:val="24"/>
          <w:lang w:eastAsia="zh-CN"/>
        </w:rPr>
        <w:t xml:space="preserve"> SCCs </w:t>
      </w:r>
      <w:r>
        <w:rPr>
          <w:rFonts w:ascii="仿宋" w:eastAsia="仿宋" w:hAnsi="仿宋"/>
          <w:sz w:val="24"/>
          <w:lang w:eastAsia="zh-CN"/>
        </w:rPr>
        <w:t>与补充措施足以确保</w:t>
      </w:r>
      <w:r>
        <w:rPr>
          <w:rFonts w:ascii="仿宋" w:eastAsia="仿宋" w:hAnsi="仿宋"/>
          <w:sz w:val="24"/>
          <w:lang w:eastAsia="zh-CN"/>
        </w:rPr>
        <w:t xml:space="preserve"> EEA </w:t>
      </w:r>
      <w:r>
        <w:rPr>
          <w:rFonts w:ascii="仿宋" w:eastAsia="仿宋" w:hAnsi="仿宋"/>
          <w:sz w:val="24"/>
          <w:lang w:eastAsia="zh-CN"/>
        </w:rPr>
        <w:t>用户数据获得与欧盟</w:t>
      </w:r>
      <w:r>
        <w:rPr>
          <w:rFonts w:ascii="仿宋" w:eastAsia="仿宋" w:hAnsi="仿宋"/>
          <w:sz w:val="24"/>
          <w:lang w:eastAsia="zh-CN"/>
        </w:rPr>
        <w:t>“</w:t>
      </w:r>
      <w:r>
        <w:rPr>
          <w:rFonts w:ascii="仿宋" w:eastAsia="仿宋" w:hAnsi="仿宋"/>
          <w:sz w:val="24"/>
          <w:lang w:eastAsia="zh-CN"/>
        </w:rPr>
        <w:t>实质等同</w:t>
      </w:r>
      <w:r>
        <w:rPr>
          <w:rFonts w:ascii="仿宋" w:eastAsia="仿宋" w:hAnsi="仿宋"/>
          <w:sz w:val="24"/>
          <w:lang w:eastAsia="zh-CN"/>
        </w:rPr>
        <w:t>”</w:t>
      </w:r>
      <w:r>
        <w:rPr>
          <w:rFonts w:ascii="仿宋" w:eastAsia="仿宋" w:hAnsi="仿宋"/>
          <w:sz w:val="24"/>
          <w:lang w:eastAsia="zh-CN"/>
        </w:rPr>
        <w:t>的保护，其对中国法律环境的评估也未能充分回应数据在中国境内被处理时可能面临的公共机关接触风险。</w:t>
      </w:r>
    </w:p>
    <w:p w:rsidR="00D824B7" w:rsidRDefault="00457834">
      <w:pPr>
        <w:spacing w:line="420" w:lineRule="exact"/>
        <w:jc w:val="both"/>
        <w:rPr>
          <w:lang w:eastAsia="zh-CN"/>
        </w:rPr>
      </w:pPr>
      <w:r>
        <w:rPr>
          <w:rFonts w:ascii="仿宋" w:eastAsia="仿宋" w:hAnsi="仿宋"/>
          <w:sz w:val="24"/>
          <w:lang w:eastAsia="zh-CN"/>
        </w:rPr>
        <w:t>这一点对于保留境内研发、算法调优、</w:t>
      </w:r>
      <w:proofErr w:type="gramStart"/>
      <w:r>
        <w:rPr>
          <w:rFonts w:ascii="仿宋" w:eastAsia="仿宋" w:hAnsi="仿宋"/>
          <w:sz w:val="24"/>
          <w:lang w:eastAsia="zh-CN"/>
        </w:rPr>
        <w:t>风控审核</w:t>
      </w:r>
      <w:proofErr w:type="gramEnd"/>
      <w:r>
        <w:rPr>
          <w:rFonts w:ascii="仿宋" w:eastAsia="仿宋" w:hAnsi="仿宋"/>
          <w:sz w:val="24"/>
          <w:lang w:eastAsia="zh-CN"/>
        </w:rPr>
        <w:t>、客</w:t>
      </w:r>
      <w:proofErr w:type="gramStart"/>
      <w:r>
        <w:rPr>
          <w:rFonts w:ascii="仿宋" w:eastAsia="仿宋" w:hAnsi="仿宋"/>
          <w:sz w:val="24"/>
          <w:lang w:eastAsia="zh-CN"/>
        </w:rPr>
        <w:t>服支</w:t>
      </w:r>
      <w:proofErr w:type="gramEnd"/>
      <w:r>
        <w:rPr>
          <w:rFonts w:ascii="仿宋" w:eastAsia="仿宋" w:hAnsi="仿宋"/>
          <w:sz w:val="24"/>
          <w:lang w:eastAsia="zh-CN"/>
        </w:rPr>
        <w:t>持或系统运</w:t>
      </w:r>
      <w:proofErr w:type="gramStart"/>
      <w:r>
        <w:rPr>
          <w:rFonts w:ascii="仿宋" w:eastAsia="仿宋" w:hAnsi="仿宋"/>
          <w:sz w:val="24"/>
          <w:lang w:eastAsia="zh-CN"/>
        </w:rPr>
        <w:t>维能</w:t>
      </w:r>
      <w:proofErr w:type="gramEnd"/>
      <w:r>
        <w:rPr>
          <w:rFonts w:ascii="仿宋" w:eastAsia="仿宋" w:hAnsi="仿宋"/>
          <w:sz w:val="24"/>
          <w:lang w:eastAsia="zh-CN"/>
        </w:rPr>
        <w:t>力的出海业务尤其关键。实践中，很多技术服务在欧洲前台提供产品或服务，但其后台支持、模型优化和技术维护仍然依赖境内团队持续介入。在这种结构下，服务器本地化和</w:t>
      </w:r>
      <w:r>
        <w:rPr>
          <w:rFonts w:ascii="仿宋" w:eastAsia="仿宋" w:hAnsi="仿宋"/>
          <w:sz w:val="24"/>
          <w:lang w:eastAsia="zh-CN"/>
        </w:rPr>
        <w:lastRenderedPageBreak/>
        <w:t>标准合同条款固然仍属必要，却已不足以单独支撑合</w:t>
      </w:r>
      <w:proofErr w:type="gramStart"/>
      <w:r>
        <w:rPr>
          <w:rFonts w:ascii="仿宋" w:eastAsia="仿宋" w:hAnsi="仿宋"/>
          <w:sz w:val="24"/>
          <w:lang w:eastAsia="zh-CN"/>
        </w:rPr>
        <w:t>规</w:t>
      </w:r>
      <w:proofErr w:type="gramEnd"/>
      <w:r>
        <w:rPr>
          <w:rFonts w:ascii="仿宋" w:eastAsia="仿宋" w:hAnsi="仿宋"/>
          <w:sz w:val="24"/>
          <w:lang w:eastAsia="zh-CN"/>
        </w:rPr>
        <w:t>判断。更关键的，是相关访问和共享活动是否能够被清楚</w:t>
      </w:r>
      <w:r>
        <w:rPr>
          <w:rFonts w:ascii="仿宋" w:eastAsia="仿宋" w:hAnsi="仿宋"/>
          <w:sz w:val="24"/>
          <w:lang w:eastAsia="zh-CN"/>
        </w:rPr>
        <w:t>说明、持续控制，并形成可供外部核验的文档</w:t>
      </w:r>
      <w:proofErr w:type="gramStart"/>
      <w:r>
        <w:rPr>
          <w:rFonts w:ascii="仿宋" w:eastAsia="仿宋" w:hAnsi="仿宋"/>
          <w:sz w:val="24"/>
          <w:lang w:eastAsia="zh-CN"/>
        </w:rPr>
        <w:t>化说明</w:t>
      </w:r>
      <w:proofErr w:type="gramEnd"/>
      <w:r>
        <w:rPr>
          <w:rFonts w:ascii="仿宋" w:eastAsia="仿宋" w:hAnsi="仿宋"/>
          <w:sz w:val="24"/>
          <w:lang w:eastAsia="zh-CN"/>
        </w:rPr>
        <w:t>体系。</w:t>
      </w:r>
      <w:r>
        <w:rPr>
          <w:rFonts w:ascii="仿宋" w:eastAsia="仿宋" w:hAnsi="仿宋"/>
          <w:sz w:val="24"/>
          <w:lang w:eastAsia="zh-CN"/>
        </w:rPr>
        <w:t>“TikTok</w:t>
      </w:r>
      <w:r>
        <w:rPr>
          <w:rFonts w:ascii="仿宋" w:eastAsia="仿宋" w:hAnsi="仿宋"/>
          <w:sz w:val="24"/>
          <w:lang w:eastAsia="zh-CN"/>
        </w:rPr>
        <w:t>案</w:t>
      </w:r>
      <w:r>
        <w:rPr>
          <w:rFonts w:ascii="仿宋" w:eastAsia="仿宋" w:hAnsi="仿宋"/>
          <w:sz w:val="24"/>
          <w:lang w:eastAsia="zh-CN"/>
        </w:rPr>
        <w:t>”</w:t>
      </w:r>
      <w:r>
        <w:rPr>
          <w:rFonts w:ascii="仿宋" w:eastAsia="仿宋" w:hAnsi="仿宋"/>
          <w:sz w:val="24"/>
          <w:lang w:eastAsia="zh-CN"/>
        </w:rPr>
        <w:t>的意义在于，其已将此类后台协同活动纳入</w:t>
      </w:r>
      <w:r>
        <w:rPr>
          <w:rFonts w:ascii="仿宋" w:eastAsia="仿宋" w:hAnsi="仿宋"/>
          <w:sz w:val="24"/>
          <w:lang w:eastAsia="zh-CN"/>
        </w:rPr>
        <w:t>GDPR</w:t>
      </w:r>
      <w:r>
        <w:rPr>
          <w:rFonts w:ascii="仿宋" w:eastAsia="仿宋" w:hAnsi="仿宋"/>
          <w:sz w:val="24"/>
          <w:lang w:eastAsia="zh-CN"/>
        </w:rPr>
        <w:t>第五章关于跨境数据流的规范评价范围。</w:t>
      </w:r>
    </w:p>
    <w:p w:rsidR="00D824B7" w:rsidRDefault="00457834">
      <w:pPr>
        <w:spacing w:line="420" w:lineRule="exact"/>
        <w:jc w:val="both"/>
        <w:rPr>
          <w:lang w:eastAsia="zh-CN"/>
        </w:rPr>
      </w:pPr>
      <w:r>
        <w:rPr>
          <w:rFonts w:ascii="仿宋" w:eastAsia="仿宋" w:hAnsi="仿宋"/>
          <w:sz w:val="24"/>
          <w:lang w:eastAsia="zh-CN"/>
        </w:rPr>
        <w:t>四、</w:t>
      </w:r>
      <w:proofErr w:type="gramStart"/>
      <w:r>
        <w:rPr>
          <w:rFonts w:ascii="仿宋" w:eastAsia="仿宋" w:hAnsi="仿宋"/>
          <w:sz w:val="24"/>
          <w:lang w:eastAsia="zh-CN"/>
        </w:rPr>
        <w:t>中国科创企业</w:t>
      </w:r>
      <w:proofErr w:type="gramEnd"/>
      <w:r>
        <w:rPr>
          <w:rFonts w:ascii="仿宋" w:eastAsia="仿宋" w:hAnsi="仿宋"/>
          <w:sz w:val="24"/>
          <w:lang w:eastAsia="zh-CN"/>
        </w:rPr>
        <w:t>数据出海的合规重点</w:t>
      </w:r>
    </w:p>
    <w:p w:rsidR="00D824B7" w:rsidRDefault="00457834">
      <w:pPr>
        <w:spacing w:line="420" w:lineRule="exact"/>
        <w:jc w:val="both"/>
        <w:rPr>
          <w:lang w:eastAsia="zh-CN"/>
        </w:rPr>
      </w:pPr>
      <w:r>
        <w:rPr>
          <w:rFonts w:ascii="仿宋" w:eastAsia="仿宋" w:hAnsi="仿宋"/>
          <w:sz w:val="24"/>
          <w:lang w:eastAsia="zh-CN"/>
        </w:rPr>
        <w:t>如前所述，面向欧盟市场开展数据活动时，合</w:t>
      </w:r>
      <w:proofErr w:type="gramStart"/>
      <w:r>
        <w:rPr>
          <w:rFonts w:ascii="仿宋" w:eastAsia="仿宋" w:hAnsi="仿宋"/>
          <w:sz w:val="24"/>
          <w:lang w:eastAsia="zh-CN"/>
        </w:rPr>
        <w:t>规</w:t>
      </w:r>
      <w:proofErr w:type="gramEnd"/>
      <w:r>
        <w:rPr>
          <w:rFonts w:ascii="仿宋" w:eastAsia="仿宋" w:hAnsi="仿宋"/>
          <w:sz w:val="24"/>
          <w:lang w:eastAsia="zh-CN"/>
        </w:rPr>
        <w:t>重点之所以发生变化，并非仅因为监管机关要求增加，而在于高风险技术业务所对应的规范控制点已经发生转移。模型训练审查所对应的，是处理合法性、透明度与反对权控制的前移。对华远程访问审查所对应的，是第五</w:t>
      </w:r>
      <w:proofErr w:type="gramStart"/>
      <w:r>
        <w:rPr>
          <w:rFonts w:ascii="仿宋" w:eastAsia="仿宋" w:hAnsi="仿宋"/>
          <w:sz w:val="24"/>
          <w:lang w:eastAsia="zh-CN"/>
        </w:rPr>
        <w:t>章意义</w:t>
      </w:r>
      <w:proofErr w:type="gramEnd"/>
      <w:r>
        <w:rPr>
          <w:rFonts w:ascii="仿宋" w:eastAsia="仿宋" w:hAnsi="仿宋"/>
          <w:sz w:val="24"/>
          <w:lang w:eastAsia="zh-CN"/>
        </w:rPr>
        <w:t>上的转移控制由传输安排转向访问结构。产品持续迭代所对应的，是问责原则、内嵌式数据</w:t>
      </w:r>
      <w:r>
        <w:rPr>
          <w:rFonts w:ascii="仿宋" w:eastAsia="仿宋" w:hAnsi="仿宋"/>
          <w:sz w:val="24"/>
          <w:lang w:eastAsia="zh-CN"/>
        </w:rPr>
        <w:t>保护与影响评估义务在产品生命周期中的展开。文档</w:t>
      </w:r>
      <w:proofErr w:type="gramStart"/>
      <w:r>
        <w:rPr>
          <w:rFonts w:ascii="仿宋" w:eastAsia="仿宋" w:hAnsi="仿宋"/>
          <w:sz w:val="24"/>
          <w:lang w:eastAsia="zh-CN"/>
        </w:rPr>
        <w:t>化说明</w:t>
      </w:r>
      <w:proofErr w:type="gramEnd"/>
      <w:r>
        <w:rPr>
          <w:rFonts w:ascii="仿宋" w:eastAsia="仿宋" w:hAnsi="仿宋"/>
          <w:sz w:val="24"/>
          <w:lang w:eastAsia="zh-CN"/>
        </w:rPr>
        <w:t>要求所对应的，则是控制者证明责任在高风险场景中的具体化。</w:t>
      </w:r>
    </w:p>
    <w:p w:rsidR="00D824B7" w:rsidRDefault="00457834">
      <w:pPr>
        <w:spacing w:line="420" w:lineRule="exact"/>
        <w:jc w:val="both"/>
        <w:rPr>
          <w:lang w:eastAsia="zh-CN"/>
        </w:rPr>
      </w:pPr>
      <w:r>
        <w:rPr>
          <w:rFonts w:ascii="仿宋" w:eastAsia="仿宋" w:hAnsi="仿宋"/>
          <w:sz w:val="24"/>
          <w:lang w:eastAsia="zh-CN"/>
        </w:rPr>
        <w:t>首先，训练数据处理安排应前移为核心合</w:t>
      </w:r>
      <w:proofErr w:type="gramStart"/>
      <w:r>
        <w:rPr>
          <w:rFonts w:ascii="仿宋" w:eastAsia="仿宋" w:hAnsi="仿宋"/>
          <w:sz w:val="24"/>
          <w:lang w:eastAsia="zh-CN"/>
        </w:rPr>
        <w:t>规</w:t>
      </w:r>
      <w:proofErr w:type="gramEnd"/>
      <w:r>
        <w:rPr>
          <w:rFonts w:ascii="仿宋" w:eastAsia="仿宋" w:hAnsi="仿宋"/>
          <w:sz w:val="24"/>
          <w:lang w:eastAsia="zh-CN"/>
        </w:rPr>
        <w:t>事项。</w:t>
      </w:r>
      <w:r>
        <w:rPr>
          <w:rFonts w:ascii="仿宋" w:eastAsia="仿宋" w:hAnsi="仿宋"/>
          <w:sz w:val="24"/>
          <w:lang w:eastAsia="zh-CN"/>
        </w:rPr>
        <w:t xml:space="preserve">Opinion 28/2024 </w:t>
      </w:r>
      <w:r>
        <w:rPr>
          <w:rFonts w:ascii="仿宋" w:eastAsia="仿宋" w:hAnsi="仿宋"/>
          <w:sz w:val="24"/>
          <w:lang w:eastAsia="zh-CN"/>
        </w:rPr>
        <w:t>以及</w:t>
      </w:r>
      <w:r>
        <w:rPr>
          <w:rFonts w:ascii="仿宋" w:eastAsia="仿宋" w:hAnsi="仿宋"/>
          <w:sz w:val="24"/>
          <w:lang w:eastAsia="zh-CN"/>
        </w:rPr>
        <w:t xml:space="preserve"> Meta</w:t>
      </w:r>
      <w:r>
        <w:rPr>
          <w:rFonts w:ascii="仿宋" w:eastAsia="仿宋" w:hAnsi="仿宋"/>
          <w:sz w:val="24"/>
          <w:lang w:eastAsia="zh-CN"/>
        </w:rPr>
        <w:t>、</w:t>
      </w:r>
      <w:r>
        <w:rPr>
          <w:rFonts w:ascii="仿宋" w:eastAsia="仿宋" w:hAnsi="仿宋"/>
          <w:sz w:val="24"/>
          <w:lang w:eastAsia="zh-CN"/>
        </w:rPr>
        <w:t xml:space="preserve">DeepSeek </w:t>
      </w:r>
      <w:r>
        <w:rPr>
          <w:rFonts w:ascii="仿宋" w:eastAsia="仿宋" w:hAnsi="仿宋"/>
          <w:sz w:val="24"/>
          <w:lang w:eastAsia="zh-CN"/>
        </w:rPr>
        <w:t>事项共同表明，模型训练并非企业内部可以笼统处理的后台活动，而是需要</w:t>
      </w:r>
      <w:proofErr w:type="gramStart"/>
      <w:r>
        <w:rPr>
          <w:rFonts w:ascii="仿宋" w:eastAsia="仿宋" w:hAnsi="仿宋"/>
          <w:sz w:val="24"/>
          <w:lang w:eastAsia="zh-CN"/>
        </w:rPr>
        <w:t>就数据</w:t>
      </w:r>
      <w:proofErr w:type="gramEnd"/>
      <w:r>
        <w:rPr>
          <w:rFonts w:ascii="仿宋" w:eastAsia="仿宋" w:hAnsi="仿宋"/>
          <w:sz w:val="24"/>
          <w:lang w:eastAsia="zh-CN"/>
        </w:rPr>
        <w:t>来源、法律基础、通知方式、反对机制、特殊风险以及后续部署影响逐项形成说明的独立场景。这意味着，训练数据处理安排应当在产品设计和模型开发阶段即被识别、评估和记录，而不能待产品上线后再以补充说明方式被动应对。</w:t>
      </w:r>
    </w:p>
    <w:p w:rsidR="00D824B7" w:rsidRDefault="00457834">
      <w:pPr>
        <w:spacing w:line="420" w:lineRule="exact"/>
        <w:jc w:val="both"/>
        <w:rPr>
          <w:lang w:eastAsia="zh-CN"/>
        </w:rPr>
      </w:pPr>
      <w:r>
        <w:rPr>
          <w:rFonts w:ascii="仿宋" w:eastAsia="仿宋" w:hAnsi="仿宋"/>
          <w:sz w:val="24"/>
          <w:lang w:eastAsia="zh-CN"/>
        </w:rPr>
        <w:t>其次，对华远程</w:t>
      </w:r>
      <w:r>
        <w:rPr>
          <w:rFonts w:ascii="仿宋" w:eastAsia="仿宋" w:hAnsi="仿宋"/>
          <w:sz w:val="24"/>
          <w:lang w:eastAsia="zh-CN"/>
        </w:rPr>
        <w:t>访问控制应上升为跨境合</w:t>
      </w:r>
      <w:proofErr w:type="gramStart"/>
      <w:r>
        <w:rPr>
          <w:rFonts w:ascii="仿宋" w:eastAsia="仿宋" w:hAnsi="仿宋"/>
          <w:sz w:val="24"/>
          <w:lang w:eastAsia="zh-CN"/>
        </w:rPr>
        <w:t>规</w:t>
      </w:r>
      <w:proofErr w:type="gramEnd"/>
      <w:r>
        <w:rPr>
          <w:rFonts w:ascii="仿宋" w:eastAsia="仿宋" w:hAnsi="仿宋"/>
          <w:sz w:val="24"/>
          <w:lang w:eastAsia="zh-CN"/>
        </w:rPr>
        <w:t>的核心内容。</w:t>
      </w:r>
      <w:r>
        <w:rPr>
          <w:rFonts w:ascii="仿宋" w:eastAsia="仿宋" w:hAnsi="仿宋"/>
          <w:sz w:val="24"/>
          <w:lang w:eastAsia="zh-CN"/>
        </w:rPr>
        <w:t xml:space="preserve">TikTok </w:t>
      </w:r>
      <w:r>
        <w:rPr>
          <w:rFonts w:ascii="仿宋" w:eastAsia="仿宋" w:hAnsi="仿宋"/>
          <w:sz w:val="24"/>
          <w:lang w:eastAsia="zh-CN"/>
        </w:rPr>
        <w:t>案已经表明，欧盟对中国的转移审查并不以传统意义上的传输概念为限，而会直接考察中国境内人员是否可以远程访问欧洲经济区用户数据，以及企业能否证明相关数据获得了实质等同的保护。由此，对于保留境内研发和运</w:t>
      </w:r>
      <w:proofErr w:type="gramStart"/>
      <w:r>
        <w:rPr>
          <w:rFonts w:ascii="仿宋" w:eastAsia="仿宋" w:hAnsi="仿宋"/>
          <w:sz w:val="24"/>
          <w:lang w:eastAsia="zh-CN"/>
        </w:rPr>
        <w:t>维能力</w:t>
      </w:r>
      <w:proofErr w:type="gramEnd"/>
      <w:r>
        <w:rPr>
          <w:rFonts w:ascii="仿宋" w:eastAsia="仿宋" w:hAnsi="仿宋"/>
          <w:sz w:val="24"/>
          <w:lang w:eastAsia="zh-CN"/>
        </w:rPr>
        <w:t>的技术业务而言，真正重要的已不是简单宣称数据留在欧洲，而是能否就谁访问、为何访问、如何审批、如何留痕、如何限制以及如何评估第三国风险形成稳定的控制结构。</w:t>
      </w:r>
    </w:p>
    <w:p w:rsidR="00D824B7" w:rsidRDefault="00457834">
      <w:pPr>
        <w:spacing w:line="420" w:lineRule="exact"/>
        <w:jc w:val="both"/>
        <w:rPr>
          <w:lang w:eastAsia="zh-CN"/>
        </w:rPr>
      </w:pPr>
      <w:r>
        <w:rPr>
          <w:rFonts w:ascii="仿宋" w:eastAsia="仿宋" w:hAnsi="仿宋"/>
          <w:sz w:val="24"/>
          <w:lang w:eastAsia="zh-CN"/>
        </w:rPr>
        <w:t>再次，产品迭代与版本更新应纳入持续评估范围。欧盟当前围绕</w:t>
      </w:r>
      <w:r>
        <w:rPr>
          <w:rFonts w:ascii="仿宋" w:eastAsia="仿宋" w:hAnsi="仿宋"/>
          <w:sz w:val="24"/>
          <w:lang w:eastAsia="zh-CN"/>
        </w:rPr>
        <w:t xml:space="preserve"> AI </w:t>
      </w:r>
      <w:r>
        <w:rPr>
          <w:rFonts w:ascii="仿宋" w:eastAsia="仿宋" w:hAnsi="仿宋"/>
          <w:sz w:val="24"/>
          <w:lang w:eastAsia="zh-CN"/>
        </w:rPr>
        <w:t>模型开发、部署和后续运行的规则设计，本质上</w:t>
      </w:r>
      <w:r>
        <w:rPr>
          <w:rFonts w:ascii="仿宋" w:eastAsia="仿宋" w:hAnsi="仿宋"/>
          <w:sz w:val="24"/>
          <w:lang w:eastAsia="zh-CN"/>
        </w:rPr>
        <w:t>都以技术产品会在上线后持续演化为前提。模型再训练、功能更新、日志反馈回流和跨设备联动，都可能改变原有处理边界。合</w:t>
      </w:r>
      <w:proofErr w:type="gramStart"/>
      <w:r>
        <w:rPr>
          <w:rFonts w:ascii="仿宋" w:eastAsia="仿宋" w:hAnsi="仿宋"/>
          <w:sz w:val="24"/>
          <w:lang w:eastAsia="zh-CN"/>
        </w:rPr>
        <w:t>规</w:t>
      </w:r>
      <w:proofErr w:type="gramEnd"/>
      <w:r>
        <w:rPr>
          <w:rFonts w:ascii="仿宋" w:eastAsia="仿宋" w:hAnsi="仿宋"/>
          <w:sz w:val="24"/>
          <w:lang w:eastAsia="zh-CN"/>
        </w:rPr>
        <w:t>因此不能被理解为一次性的上线审查，而应成为伴随产品生命周期持续展开的评估机制。</w:t>
      </w:r>
      <w:r>
        <w:rPr>
          <w:rFonts w:ascii="仿宋" w:eastAsia="仿宋" w:hAnsi="仿宋"/>
          <w:sz w:val="24"/>
          <w:lang w:eastAsia="zh-CN"/>
        </w:rPr>
        <w:t xml:space="preserve">Opinion 28/2024 </w:t>
      </w:r>
      <w:r>
        <w:rPr>
          <w:rFonts w:ascii="仿宋" w:eastAsia="仿宋" w:hAnsi="仿宋"/>
          <w:sz w:val="24"/>
          <w:lang w:eastAsia="zh-CN"/>
        </w:rPr>
        <w:t>对开发与部署阶段的区分，以及</w:t>
      </w:r>
      <w:r>
        <w:rPr>
          <w:rFonts w:ascii="仿宋" w:eastAsia="仿宋" w:hAnsi="仿宋"/>
          <w:sz w:val="24"/>
          <w:lang w:eastAsia="zh-CN"/>
        </w:rPr>
        <w:t xml:space="preserve"> DPC </w:t>
      </w:r>
      <w:r>
        <w:rPr>
          <w:rFonts w:ascii="仿宋" w:eastAsia="仿宋" w:hAnsi="仿宋"/>
          <w:sz w:val="24"/>
          <w:lang w:eastAsia="zh-CN"/>
        </w:rPr>
        <w:t>对</w:t>
      </w:r>
      <w:r>
        <w:rPr>
          <w:rFonts w:ascii="仿宋" w:eastAsia="仿宋" w:hAnsi="仿宋"/>
          <w:sz w:val="24"/>
          <w:lang w:eastAsia="zh-CN"/>
        </w:rPr>
        <w:t xml:space="preserve"> Meta </w:t>
      </w:r>
      <w:r>
        <w:rPr>
          <w:rFonts w:ascii="仿宋" w:eastAsia="仿宋" w:hAnsi="仿宋"/>
          <w:sz w:val="24"/>
          <w:lang w:eastAsia="zh-CN"/>
        </w:rPr>
        <w:t>上线前额外保障的要求，均足以支持这一判断。</w:t>
      </w:r>
    </w:p>
    <w:p w:rsidR="00D824B7" w:rsidRDefault="00457834">
      <w:pPr>
        <w:spacing w:line="420" w:lineRule="exact"/>
        <w:jc w:val="both"/>
        <w:rPr>
          <w:lang w:eastAsia="zh-CN"/>
        </w:rPr>
      </w:pPr>
      <w:r>
        <w:rPr>
          <w:rFonts w:ascii="仿宋" w:eastAsia="仿宋" w:hAnsi="仿宋"/>
          <w:sz w:val="24"/>
          <w:lang w:eastAsia="zh-CN"/>
        </w:rPr>
        <w:lastRenderedPageBreak/>
        <w:t>最后，企业还需要建立能够回应欧盟监管问询的文档</w:t>
      </w:r>
      <w:proofErr w:type="gramStart"/>
      <w:r>
        <w:rPr>
          <w:rFonts w:ascii="仿宋" w:eastAsia="仿宋" w:hAnsi="仿宋"/>
          <w:sz w:val="24"/>
          <w:lang w:eastAsia="zh-CN"/>
        </w:rPr>
        <w:t>化说明</w:t>
      </w:r>
      <w:proofErr w:type="gramEnd"/>
      <w:r>
        <w:rPr>
          <w:rFonts w:ascii="仿宋" w:eastAsia="仿宋" w:hAnsi="仿宋"/>
          <w:sz w:val="24"/>
          <w:lang w:eastAsia="zh-CN"/>
        </w:rPr>
        <w:t>体系。无论是</w:t>
      </w:r>
      <w:r>
        <w:rPr>
          <w:rFonts w:ascii="仿宋" w:eastAsia="仿宋" w:hAnsi="仿宋"/>
          <w:sz w:val="24"/>
          <w:lang w:eastAsia="zh-CN"/>
        </w:rPr>
        <w:t xml:space="preserve"> DeepSeek </w:t>
      </w:r>
      <w:r>
        <w:rPr>
          <w:rFonts w:ascii="仿宋" w:eastAsia="仿宋" w:hAnsi="仿宋"/>
          <w:sz w:val="24"/>
          <w:lang w:eastAsia="zh-CN"/>
        </w:rPr>
        <w:t>事项中对数据来源、法律基础、服务器位置和抓取告知的集中追问，还是</w:t>
      </w:r>
      <w:r>
        <w:rPr>
          <w:rFonts w:ascii="仿宋" w:eastAsia="仿宋" w:hAnsi="仿宋"/>
          <w:sz w:val="24"/>
          <w:lang w:eastAsia="zh-CN"/>
        </w:rPr>
        <w:t xml:space="preserve"> Meta </w:t>
      </w:r>
      <w:r>
        <w:rPr>
          <w:rFonts w:ascii="仿宋" w:eastAsia="仿宋" w:hAnsi="仿宋"/>
          <w:sz w:val="24"/>
          <w:lang w:eastAsia="zh-CN"/>
        </w:rPr>
        <w:t>事项中对通知、反对机制和用户控制</w:t>
      </w:r>
      <w:r>
        <w:rPr>
          <w:rFonts w:ascii="仿宋" w:eastAsia="仿宋" w:hAnsi="仿宋"/>
          <w:sz w:val="24"/>
          <w:lang w:eastAsia="zh-CN"/>
        </w:rPr>
        <w:t>方式的具体要求，都表明欧盟监管机关真正要求的是企业在较短时间内提交清晰、完整且可验证的材料。由此，角色识别、权限清单、风险评估、影响评估、版本记录和补充措施说明，已成为维持欧盟市场可持续经营资格的重要组成部分。</w:t>
      </w:r>
    </w:p>
    <w:p w:rsidR="00D824B7" w:rsidRDefault="00457834">
      <w:pPr>
        <w:spacing w:line="420" w:lineRule="exact"/>
        <w:jc w:val="both"/>
        <w:rPr>
          <w:lang w:eastAsia="zh-CN"/>
        </w:rPr>
      </w:pPr>
      <w:r>
        <w:rPr>
          <w:rFonts w:ascii="仿宋" w:eastAsia="仿宋" w:hAnsi="仿宋"/>
          <w:sz w:val="24"/>
          <w:lang w:eastAsia="zh-CN"/>
        </w:rPr>
        <w:t>结语</w:t>
      </w:r>
    </w:p>
    <w:p w:rsidR="00D824B7" w:rsidRDefault="00457834">
      <w:pPr>
        <w:spacing w:line="420" w:lineRule="exact"/>
        <w:jc w:val="both"/>
        <w:rPr>
          <w:lang w:eastAsia="zh-CN"/>
        </w:rPr>
      </w:pPr>
      <w:r>
        <w:rPr>
          <w:rFonts w:ascii="仿宋" w:eastAsia="仿宋" w:hAnsi="仿宋"/>
          <w:sz w:val="24"/>
          <w:lang w:eastAsia="zh-CN"/>
        </w:rPr>
        <w:t>欧盟近期围绕人工智能模型、跨境远程访问和中国关联业务所展开的监管实践表明，中国科创企业数据出海的核心法律问题已经发生明显变化。其重点不再主要停留于隐私政策、用户告知与标准合同条款等一般性文本义务，而是进一步集中于训练数据处理安排、对华远程访问控制、持续迭代评估以及文档化说明义务等前置性事项。</w:t>
      </w:r>
      <w:r>
        <w:rPr>
          <w:rFonts w:ascii="仿宋" w:eastAsia="仿宋" w:hAnsi="仿宋"/>
          <w:sz w:val="24"/>
          <w:lang w:eastAsia="zh-CN"/>
        </w:rPr>
        <w:t>O</w:t>
      </w:r>
      <w:r>
        <w:rPr>
          <w:rFonts w:ascii="仿宋" w:eastAsia="仿宋" w:hAnsi="仿宋"/>
          <w:sz w:val="24"/>
          <w:lang w:eastAsia="zh-CN"/>
        </w:rPr>
        <w:t xml:space="preserve">pinion 28/2024 </w:t>
      </w:r>
      <w:r>
        <w:rPr>
          <w:rFonts w:ascii="仿宋" w:eastAsia="仿宋" w:hAnsi="仿宋"/>
          <w:sz w:val="24"/>
          <w:lang w:eastAsia="zh-CN"/>
        </w:rPr>
        <w:t>所建立的分析框架，</w:t>
      </w:r>
      <w:r>
        <w:rPr>
          <w:rFonts w:ascii="仿宋" w:eastAsia="仿宋" w:hAnsi="仿宋"/>
          <w:sz w:val="24"/>
          <w:lang w:eastAsia="zh-CN"/>
        </w:rPr>
        <w:t>Meta</w:t>
      </w:r>
      <w:r>
        <w:rPr>
          <w:rFonts w:ascii="仿宋" w:eastAsia="仿宋" w:hAnsi="仿宋"/>
          <w:sz w:val="24"/>
          <w:lang w:eastAsia="zh-CN"/>
        </w:rPr>
        <w:t>事项所体现的训练审查逻辑，</w:t>
      </w:r>
      <w:r>
        <w:rPr>
          <w:rFonts w:ascii="仿宋" w:eastAsia="仿宋" w:hAnsi="仿宋"/>
          <w:sz w:val="24"/>
          <w:lang w:eastAsia="zh-CN"/>
        </w:rPr>
        <w:t xml:space="preserve">TikTok </w:t>
      </w:r>
      <w:r>
        <w:rPr>
          <w:rFonts w:ascii="仿宋" w:eastAsia="仿宋" w:hAnsi="仿宋"/>
          <w:sz w:val="24"/>
          <w:lang w:eastAsia="zh-CN"/>
        </w:rPr>
        <w:t>案对中国远程访问的明确评价，以及</w:t>
      </w:r>
      <w:r>
        <w:rPr>
          <w:rFonts w:ascii="仿宋" w:eastAsia="仿宋" w:hAnsi="仿宋"/>
          <w:sz w:val="24"/>
          <w:lang w:eastAsia="zh-CN"/>
        </w:rPr>
        <w:t xml:space="preserve"> DeepSeek </w:t>
      </w:r>
      <w:r>
        <w:rPr>
          <w:rFonts w:ascii="仿宋" w:eastAsia="仿宋" w:hAnsi="仿宋"/>
          <w:sz w:val="24"/>
          <w:lang w:eastAsia="zh-CN"/>
        </w:rPr>
        <w:t>事项中对中国人工智能服务说明义务的前置化要求，共同说明欧盟当前真正审查的，是企业能否将高风险技术活动纳入一个可解释、可控制、可验证的合规结构。对于当前科创企业以技术研发、模型训练和跨区域协同为主要特征的出海业务而言，下一阶段真正决定其欧盟市场稳定性的，并非形式意义层面的文件配置是否齐备，而是其是否能够围绕模型训练、跨境访问与内部协同形成前移的合规能力。</w:t>
      </w:r>
    </w:p>
    <w:p w:rsidR="00D824B7" w:rsidRDefault="00D824B7">
      <w:pPr>
        <w:spacing w:line="420" w:lineRule="exact"/>
        <w:jc w:val="both"/>
        <w:rPr>
          <w:lang w:eastAsia="zh-CN"/>
        </w:rPr>
      </w:pPr>
    </w:p>
    <w:p w:rsidR="00D824B7" w:rsidRDefault="00457834">
      <w:pPr>
        <w:spacing w:line="420" w:lineRule="exact"/>
        <w:jc w:val="both"/>
        <w:rPr>
          <w:lang w:eastAsia="zh-CN"/>
        </w:rPr>
      </w:pPr>
      <w:r>
        <w:rPr>
          <w:rFonts w:ascii="仿宋" w:eastAsia="仿宋" w:hAnsi="仿宋"/>
          <w:sz w:val="24"/>
          <w:lang w:eastAsia="zh-CN"/>
        </w:rPr>
        <w:t>作者：</w:t>
      </w:r>
    </w:p>
    <w:p w:rsidR="00D824B7" w:rsidRDefault="00457834">
      <w:pPr>
        <w:spacing w:line="420" w:lineRule="exact"/>
        <w:jc w:val="both"/>
        <w:rPr>
          <w:lang w:eastAsia="zh-CN"/>
        </w:rPr>
      </w:pPr>
      <w:r>
        <w:rPr>
          <w:rFonts w:ascii="仿宋" w:eastAsia="仿宋" w:hAnsi="仿宋"/>
          <w:sz w:val="24"/>
          <w:lang w:eastAsia="zh-CN"/>
        </w:rPr>
        <w:t>冯明昱</w:t>
      </w:r>
      <w:r>
        <w:rPr>
          <w:rFonts w:ascii="仿宋" w:eastAsia="仿宋" w:hAnsi="仿宋"/>
          <w:sz w:val="24"/>
          <w:lang w:eastAsia="zh-CN"/>
        </w:rPr>
        <w:t xml:space="preserve"> </w:t>
      </w:r>
      <w:r>
        <w:rPr>
          <w:rFonts w:ascii="仿宋" w:eastAsia="仿宋" w:hAnsi="仿宋"/>
          <w:sz w:val="24"/>
          <w:lang w:eastAsia="zh-CN"/>
        </w:rPr>
        <w:t>上海中联律师事务所博士后创新实践基地兼职博士后</w:t>
      </w:r>
    </w:p>
    <w:p w:rsidR="00D824B7" w:rsidRDefault="00457834">
      <w:pPr>
        <w:spacing w:line="420" w:lineRule="exact"/>
        <w:jc w:val="both"/>
        <w:rPr>
          <w:lang w:eastAsia="zh-CN"/>
        </w:rPr>
      </w:pPr>
      <w:r>
        <w:rPr>
          <w:rFonts w:ascii="仿宋" w:eastAsia="仿宋" w:hAnsi="仿宋"/>
          <w:sz w:val="24"/>
          <w:lang w:eastAsia="zh-CN"/>
        </w:rPr>
        <w:t>方懿</w:t>
      </w:r>
      <w:r>
        <w:rPr>
          <w:rFonts w:ascii="仿宋" w:eastAsia="仿宋" w:hAnsi="仿宋"/>
          <w:sz w:val="24"/>
          <w:lang w:eastAsia="zh-CN"/>
        </w:rPr>
        <w:t xml:space="preserve"> </w:t>
      </w:r>
      <w:r>
        <w:rPr>
          <w:rFonts w:ascii="仿宋" w:eastAsia="仿宋" w:hAnsi="仿宋"/>
          <w:sz w:val="24"/>
          <w:lang w:eastAsia="zh-CN"/>
        </w:rPr>
        <w:t>上海中联律师事务所合伙人</w:t>
      </w:r>
    </w:p>
    <w:p w:rsidR="00D824B7" w:rsidRDefault="00D824B7">
      <w:pPr>
        <w:spacing w:line="420" w:lineRule="exact"/>
        <w:jc w:val="both"/>
        <w:rPr>
          <w:lang w:eastAsia="zh-CN"/>
        </w:rPr>
      </w:pPr>
    </w:p>
    <w:sectPr w:rsidR="00D824B7" w:rsidSect="00034616">
      <w:pgSz w:w="12240" w:h="15840"/>
      <w:pgMar w:top="1440" w:right="1699"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57834"/>
    <w:rsid w:val="00AA1D8D"/>
    <w:rsid w:val="00B47730"/>
    <w:rsid w:val="00CB0664"/>
    <w:rsid w:val="00D824B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9E88CB2-098F-4ACA-9B2A-93A34538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138AA-1673-46D3-B810-3080AA13B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815</Words>
  <Characters>4647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3</cp:revision>
  <dcterms:created xsi:type="dcterms:W3CDTF">2013-12-23T23:15:00Z</dcterms:created>
  <dcterms:modified xsi:type="dcterms:W3CDTF">2026-04-22T02:13:00Z</dcterms:modified>
  <cp:category/>
</cp:coreProperties>
</file>