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43968">
      <w:pPr>
        <w:spacing w:after="80" w:line="360" w:lineRule="auto"/>
        <w:jc w:val="center"/>
      </w:pPr>
      <w:r>
        <w:rPr>
          <w:rFonts w:ascii="宋体" w:hAnsi="宋体" w:eastAsia="宋体"/>
          <w:b/>
          <w:sz w:val="36"/>
        </w:rPr>
        <w:t>国际贸易风险防控与海关合规分析</w:t>
      </w:r>
    </w:p>
    <w:p w14:paraId="2E74F813">
      <w:pPr>
        <w:spacing w:after="40" w:line="360" w:lineRule="auto"/>
        <w:jc w:val="center"/>
      </w:pPr>
      <w:r>
        <w:rPr>
          <w:rFonts w:ascii="宋体" w:hAnsi="宋体" w:eastAsia="宋体"/>
          <w:color w:val="555555"/>
          <w:sz w:val="21"/>
        </w:rPr>
        <w:t>作者：展国红、舒佳丽</w:t>
      </w:r>
    </w:p>
    <w:p w14:paraId="3A3B9790">
      <w:pPr>
        <w:spacing w:after="240" w:line="360" w:lineRule="auto"/>
        <w:jc w:val="center"/>
      </w:pPr>
      <w:r>
        <w:rPr>
          <w:rFonts w:ascii="宋体" w:hAnsi="宋体" w:eastAsia="宋体"/>
          <w:color w:val="888888"/>
          <w:sz w:val="20"/>
        </w:rPr>
        <w:t>来源：大成上海办公室</w:t>
      </w:r>
    </w:p>
    <w:p w14:paraId="413CE939">
      <w:pPr>
        <w:pBdr>
          <w:bottom w:val="single" w:color="1F4E79" w:sz="8" w:space="8"/>
        </w:pBdr>
        <w:spacing w:after="240"/>
      </w:pPr>
    </w:p>
    <w:p w14:paraId="4527E571">
      <w:pPr>
        <w:pStyle w:val="4"/>
      </w:pPr>
      <w:r>
        <w:rPr>
          <w:rFonts w:ascii="黑体" w:hAnsi="黑体" w:eastAsia="黑体"/>
        </w:rPr>
        <w:t>前言</w:t>
      </w:r>
    </w:p>
    <w:p w14:paraId="3053B063">
      <w:pPr>
        <w:spacing w:after="120" w:line="360" w:lineRule="auto"/>
      </w:pPr>
      <w:r>
        <w:rPr>
          <w:rFonts w:ascii="宋体" w:hAnsi="宋体" w:eastAsia="宋体"/>
          <w:sz w:val="21"/>
        </w:rPr>
        <w:t>持续数年的关税大战、不断升级的贸易管制政策，已让国际贸易环境变得异常严峻；今年2月，美、伊冲突的爆发，更是让本就艰难的贸易环境雪上加霜，这就要求在国际贸易领域执业的律师不应仅局限于事后的跨境诉讼、仲裁等救济服务，更要主动前置，为客户审时度势，提供全方位、前瞻性的风险防控与合规服务。</w:t>
      </w:r>
    </w:p>
    <w:p w14:paraId="347CE201">
      <w:pPr>
        <w:pStyle w:val="4"/>
      </w:pPr>
      <w:r>
        <w:rPr>
          <w:rFonts w:ascii="黑体" w:hAnsi="黑体" w:eastAsia="黑体"/>
        </w:rPr>
        <w:t>第一章 国际贸易风险分析与防控</w:t>
      </w:r>
    </w:p>
    <w:p w14:paraId="1E6B0734">
      <w:pPr>
        <w:spacing w:after="120" w:line="360" w:lineRule="auto"/>
      </w:pPr>
      <w:r>
        <w:rPr>
          <w:rFonts w:ascii="宋体" w:hAnsi="宋体" w:eastAsia="宋体"/>
          <w:sz w:val="21"/>
        </w:rPr>
        <w:t>当下的国际贸易，早已不是“签单、发货、收款”的简单流程——世界正处于百年未有之大变局，地缘冲突频发、贸易保护主义抬头、政策调整瞬息万变，风险无处不在。</w:t>
      </w:r>
    </w:p>
    <w:p w14:paraId="51C1DC33">
      <w:pPr>
        <w:pStyle w:val="5"/>
      </w:pPr>
      <w:r>
        <w:rPr>
          <w:rFonts w:ascii="黑体" w:hAnsi="黑体" w:eastAsia="黑体"/>
        </w:rPr>
        <w:t>一、企业面临的四大国际贸易风险</w:t>
      </w:r>
    </w:p>
    <w:p w14:paraId="164EBA7A">
      <w:pPr>
        <w:pStyle w:val="5"/>
      </w:pPr>
      <w:r>
        <w:rPr>
          <w:rFonts w:ascii="黑体" w:hAnsi="黑体" w:eastAsia="黑体"/>
        </w:rPr>
        <w:t>（一）关税大战持续发酵，交易亏损风险凸显</w:t>
      </w:r>
    </w:p>
    <w:p w14:paraId="5B054402">
      <w:pPr>
        <w:spacing w:after="120" w:line="360" w:lineRule="auto"/>
      </w:pPr>
      <w:r>
        <w:rPr>
          <w:rFonts w:ascii="宋体" w:hAnsi="宋体" w:eastAsia="宋体"/>
          <w:sz w:val="21"/>
        </w:rPr>
        <w:t>2026年2月20日，美国最高法院以6:3裁定特朗普政府依据IEEPA实施的大规模关税政策违宪。同日，特朗普签署行政令，依据《1974年贸易法》第122条，宣布自2月24日起对全球所有国家商品加征10%进口关税，有效期150天。2月21日又将税率上调至15%。2026年5月7日，美国国际贸易法院裁定第122条征收10%全球进口关税缺乏法律依据。</w:t>
      </w:r>
    </w:p>
    <w:p w14:paraId="47DBB06E">
      <w:pPr>
        <w:spacing w:after="120" w:line="360" w:lineRule="auto"/>
      </w:pPr>
      <w:r>
        <w:rPr>
          <w:rFonts w:ascii="宋体" w:hAnsi="宋体" w:eastAsia="宋体"/>
          <w:sz w:val="21"/>
        </w:rPr>
        <w:t>主要影响：原本盈利的订单可能因关税骤然上调而转为亏损；部分企业被迫自行承担关税成本；企业因关税走势难以预判，不敢承接长期订单，错失市场机会。</w:t>
      </w:r>
    </w:p>
    <w:p w14:paraId="24EF86DF">
      <w:pPr>
        <w:pStyle w:val="5"/>
      </w:pPr>
      <w:r>
        <w:rPr>
          <w:rFonts w:ascii="黑体" w:hAnsi="黑体" w:eastAsia="黑体"/>
        </w:rPr>
        <w:t>（二）地缘冲突升级，供应链与履约风险激增</w:t>
      </w:r>
    </w:p>
    <w:p w14:paraId="3D98A1D2">
      <w:pPr>
        <w:spacing w:after="120" w:line="360" w:lineRule="auto"/>
      </w:pPr>
      <w:r>
        <w:rPr>
          <w:rFonts w:ascii="宋体" w:hAnsi="宋体" w:eastAsia="宋体"/>
          <w:sz w:val="21"/>
        </w:rPr>
        <w:t>2026年2月28日，美以联合对伊朗发动军事打击，整个中东地区陷入战火。红海航线受阻、霍尔木兹海峡通行风险大幅上升，全球12%的贸易运输直接受此影响。单航次航程增加10‑14天，燃油成本上涨30%以上，战争险费率飙升至0.8%‑1.2%。</w:t>
      </w:r>
    </w:p>
    <w:p w14:paraId="41D891C4">
      <w:pPr>
        <w:spacing w:after="120" w:line="360" w:lineRule="auto"/>
      </w:pPr>
      <w:r>
        <w:rPr>
          <w:rFonts w:ascii="宋体" w:hAnsi="宋体" w:eastAsia="宋体"/>
          <w:sz w:val="21"/>
        </w:rPr>
        <w:t>对外贸经营者的直接风险：履约风险（航线中断、物流延误）、货物风险（在途货物可能因战火灭失损坏）、收款风险（涉及中东客户的订单可能出现客户失联、货款无法回收）。</w:t>
      </w:r>
    </w:p>
    <w:p w14:paraId="098265D4">
      <w:pPr>
        <w:pStyle w:val="5"/>
      </w:pPr>
      <w:r>
        <w:rPr>
          <w:rFonts w:ascii="黑体" w:hAnsi="黑体" w:eastAsia="黑体"/>
        </w:rPr>
        <w:t>（三）贸易管制政策迭代加快，不确定性显著上升</w:t>
      </w:r>
    </w:p>
    <w:p w14:paraId="374516BE">
      <w:pPr>
        <w:spacing w:after="120" w:line="360" w:lineRule="auto"/>
      </w:pPr>
      <w:r>
        <w:rPr>
          <w:rFonts w:ascii="宋体" w:hAnsi="宋体" w:eastAsia="宋体"/>
          <w:sz w:val="21"/>
        </w:rPr>
        <w:t>各国越来越频繁地使用非关税壁垒作为贸易制衡手段。出口管制与经济制裁政策调整频率明显加快，我国管制政策大多没有设置执行缓冲期，部分政策发布当日即生效。一旦触碰制裁红线，不仅面临商事风险，还可能引发海关合规风险，甚至行政处罚、刑事追责。</w:t>
      </w:r>
    </w:p>
    <w:p w14:paraId="09121F73">
      <w:pPr>
        <w:pStyle w:val="5"/>
      </w:pPr>
      <w:r>
        <w:rPr>
          <w:rFonts w:ascii="黑体" w:hAnsi="黑体" w:eastAsia="黑体"/>
        </w:rPr>
        <w:t>（四）海关合规监管趋严，事后追诉风险加大</w:t>
      </w:r>
    </w:p>
    <w:p w14:paraId="4F071AAC">
      <w:pPr>
        <w:spacing w:after="120" w:line="360" w:lineRule="auto"/>
      </w:pPr>
      <w:r>
        <w:rPr>
          <w:rFonts w:ascii="宋体" w:hAnsi="宋体" w:eastAsia="宋体"/>
          <w:sz w:val="21"/>
        </w:rPr>
        <w:t>企业为降低交易成本、规避贸易壁垒，往往通过商品归类、原产地认定、转让定价、特许权使用费等方式进行贸易筹划。此类筹划必须在法律框架内进行，一旦逾越合理范畴，就可能构成违规。海关合规没有“灰色地带”。</w:t>
      </w:r>
    </w:p>
    <w:p w14:paraId="09F996B8">
      <w:pPr>
        <w:pStyle w:val="5"/>
      </w:pPr>
      <w:r>
        <w:rPr>
          <w:rFonts w:ascii="黑体" w:hAnsi="黑体" w:eastAsia="黑体"/>
        </w:rPr>
        <w:t>二、企业建立风险防控体系的六大方面</w:t>
      </w:r>
    </w:p>
    <w:p w14:paraId="5BEBCB13">
      <w:pPr>
        <w:spacing w:after="120" w:line="360" w:lineRule="auto"/>
      </w:pPr>
      <w:r>
        <w:rPr>
          <w:rFonts w:ascii="宋体" w:hAnsi="宋体" w:eastAsia="宋体"/>
          <w:sz w:val="21"/>
        </w:rPr>
        <w:t>一是建立动态风险监控机制，筑牢信息防线：建立“关税政策+贸易管制+地缘局势+航运动态”四位一体的动态监控机制。指定专人负责，定期跟踪我国及主要贸易国的关税调整、制裁与反制裁措施。</w:t>
      </w:r>
    </w:p>
    <w:p w14:paraId="5ABDD011">
      <w:pPr>
        <w:spacing w:after="120" w:line="360" w:lineRule="auto"/>
      </w:pPr>
      <w:r>
        <w:rPr>
          <w:rFonts w:ascii="宋体" w:hAnsi="宋体" w:eastAsia="宋体"/>
          <w:sz w:val="21"/>
        </w:rPr>
        <w:t>二是强化交易对手核查，规避合作风险：做好交易对手和最终用户的背景调查，即使是长期合作的老客户，也建议每半年评估一次其经营状况、资金实力等情况。</w:t>
      </w:r>
    </w:p>
    <w:p w14:paraId="65E58AE8">
      <w:pPr>
        <w:spacing w:after="120" w:line="360" w:lineRule="auto"/>
      </w:pPr>
      <w:r>
        <w:rPr>
          <w:rFonts w:ascii="宋体" w:hAnsi="宋体" w:eastAsia="宋体"/>
          <w:sz w:val="21"/>
        </w:rPr>
        <w:t>三是优化合同条款，预留避险空间：设置“关税调整免责条款”，将贸易管制政策调整、地缘冲突等不可抗力因素纳入合同条款。</w:t>
      </w:r>
    </w:p>
    <w:p w14:paraId="543C757B">
      <w:pPr>
        <w:spacing w:after="120" w:line="360" w:lineRule="auto"/>
      </w:pPr>
      <w:r>
        <w:rPr>
          <w:rFonts w:ascii="宋体" w:hAnsi="宋体" w:eastAsia="宋体"/>
          <w:sz w:val="21"/>
        </w:rPr>
        <w:t>四是审慎适用包税清关，坚守合规底线：建议企业尽量避免采用包税清关。任何规避海关监管、虚假申报的行为，都可能构成走私。</w:t>
      </w:r>
    </w:p>
    <w:p w14:paraId="065B1A8E">
      <w:pPr>
        <w:spacing w:after="120" w:line="360" w:lineRule="auto"/>
      </w:pPr>
      <w:r>
        <w:rPr>
          <w:rFonts w:ascii="宋体" w:hAnsi="宋体" w:eastAsia="宋体"/>
          <w:sz w:val="21"/>
        </w:rPr>
        <w:t>五是理性开展贸易降本筹划，杜绝违规操作：商品归类、原产地认定、转让定价、特许权使用费等筹划方式必须在法律和规则框架内进行。</w:t>
      </w:r>
    </w:p>
    <w:p w14:paraId="1E8E1FCE">
      <w:pPr>
        <w:spacing w:after="120" w:line="360" w:lineRule="auto"/>
      </w:pPr>
      <w:r>
        <w:rPr>
          <w:rFonts w:ascii="宋体" w:hAnsi="宋体" w:eastAsia="宋体"/>
          <w:sz w:val="21"/>
        </w:rPr>
        <w:t>六是布局多元市场，分散经营风险：对于可能被关税精准打击的行业，建议尽快拓展新兴市场，降低对单一市场的依赖。</w:t>
      </w:r>
    </w:p>
    <w:p w14:paraId="400D543C">
      <w:pPr>
        <w:pStyle w:val="4"/>
      </w:pPr>
      <w:r>
        <w:rPr>
          <w:rFonts w:ascii="黑体" w:hAnsi="黑体" w:eastAsia="黑体"/>
        </w:rPr>
        <w:t>第二章 海关合规——企业的“内部防线”与“护城河”</w:t>
      </w:r>
    </w:p>
    <w:p w14:paraId="4BC221AB">
      <w:pPr>
        <w:pStyle w:val="5"/>
      </w:pPr>
      <w:r>
        <w:rPr>
          <w:rFonts w:ascii="黑体" w:hAnsi="黑体" w:eastAsia="黑体"/>
        </w:rPr>
        <w:t>一、坚守如实申报底线，杜绝侥幸心理</w:t>
      </w:r>
    </w:p>
    <w:p w14:paraId="6A513C80">
      <w:pPr>
        <w:spacing w:after="120" w:line="360" w:lineRule="auto"/>
      </w:pPr>
      <w:r>
        <w:rPr>
          <w:rFonts w:ascii="宋体" w:hAnsi="宋体" w:eastAsia="宋体"/>
          <w:sz w:val="21"/>
        </w:rPr>
        <w:t>如实申报是海关合规的核心要求，核心原则是“单单相符、单货相符”，具体包括品名、申报要素、商品归类、原产地、价格条件等所有申报内容，都必须真实、准确、完整，不得虚假申报、隐瞒申报。</w:t>
      </w:r>
    </w:p>
    <w:p w14:paraId="5DC80FA0">
      <w:pPr>
        <w:spacing w:after="120" w:line="360" w:lineRule="auto"/>
      </w:pPr>
      <w:r>
        <w:rPr>
          <w:rFonts w:ascii="宋体" w:hAnsi="宋体" w:eastAsia="宋体"/>
          <w:sz w:val="21"/>
        </w:rPr>
        <w:t>企业容易出现申报问题的三个环节：</w:t>
      </w:r>
    </w:p>
    <w:p w14:paraId="49135350">
      <w:pPr>
        <w:pStyle w:val="16"/>
        <w:spacing w:line="360" w:lineRule="auto"/>
      </w:pPr>
      <w:r>
        <w:rPr>
          <w:rFonts w:ascii="宋体" w:hAnsi="宋体" w:eastAsia="宋体"/>
          <w:sz w:val="21"/>
        </w:rPr>
        <w:t>商品归类：很多企业存在“归类惯性”，对进出口商品的归类几十年不变，不定期复核。归类错误导致少缴税款或违反贸易管制规定，将面临海关追征税款、加收滞纳金、罚款等处罚。</w:t>
      </w:r>
    </w:p>
    <w:p w14:paraId="6E1C9B5D">
      <w:pPr>
        <w:pStyle w:val="16"/>
        <w:spacing w:line="360" w:lineRule="auto"/>
      </w:pPr>
      <w:r>
        <w:rPr>
          <w:rFonts w:ascii="宋体" w:hAnsi="宋体" w:eastAsia="宋体"/>
          <w:sz w:val="21"/>
        </w:rPr>
        <w:t>进口计税价格：常见误区是认为进口计税价格就是买卖合同的成交价格。实际上海关会根据相关规定对成交价格进行调整。</w:t>
      </w:r>
    </w:p>
    <w:p w14:paraId="630E7931">
      <w:pPr>
        <w:pStyle w:val="16"/>
        <w:spacing w:line="360" w:lineRule="auto"/>
      </w:pPr>
      <w:r>
        <w:rPr>
          <w:rFonts w:ascii="宋体" w:hAnsi="宋体" w:eastAsia="宋体"/>
          <w:sz w:val="21"/>
        </w:rPr>
        <w:t>原产地：关税大战背景下，不同原产地的商品适用税率差异较大，原产地真实性成为海关监管重点。虚假证书风险：无法享惠、被海关追征税款，甚至行政处罚。</w:t>
      </w:r>
    </w:p>
    <w:p w14:paraId="3BD535BC">
      <w:pPr>
        <w:pStyle w:val="5"/>
      </w:pPr>
      <w:r>
        <w:rPr>
          <w:rFonts w:ascii="黑体" w:hAnsi="黑体" w:eastAsia="黑体"/>
        </w:rPr>
        <w:t>二、完善内部留痕机制，确保有据可查</w:t>
      </w:r>
    </w:p>
    <w:p w14:paraId="57C13635">
      <w:pPr>
        <w:spacing w:after="120" w:line="360" w:lineRule="auto"/>
      </w:pPr>
      <w:r>
        <w:rPr>
          <w:rFonts w:ascii="宋体" w:hAnsi="宋体" w:eastAsia="宋体"/>
          <w:sz w:val="21"/>
        </w:rPr>
        <w:t>根据海关法等相关规定，企业保存进出口单证是法定义务。</w:t>
      </w:r>
    </w:p>
    <w:tbl>
      <w:tblPr>
        <w:tblStyle w:val="32"/>
        <w:tblW w:w="0" w:type="auto"/>
        <w:jc w:val="center"/>
        <w:tblBorders>
          <w:top w:val="single" w:color="AAAAAA" w:sz="4" w:space="0"/>
          <w:left w:val="single" w:color="AAAAAA" w:sz="4" w:space="0"/>
          <w:bottom w:val="single" w:color="AAAAAA" w:sz="4" w:space="0"/>
          <w:right w:val="single" w:color="AAAAAA" w:sz="4" w:space="0"/>
          <w:insideH w:val="single" w:color="AAAAAA" w:sz="4" w:space="0"/>
          <w:insideV w:val="single" w:color="AAAAAA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74AE4AF9">
        <w:trPr>
          <w:jc w:val="center"/>
        </w:trPr>
        <w:tc>
          <w:tcPr>
            <w:tcW w:w="4680" w:type="dxa"/>
            <w:shd w:val="clear" w:color="auto" w:fill="1F4E79"/>
          </w:tcPr>
          <w:p w14:paraId="6DE85E15">
            <w:pPr>
              <w:jc w:val="center"/>
            </w:pPr>
            <w:r>
              <w:rPr>
                <w:rFonts w:ascii="黑体" w:hAnsi="黑体" w:eastAsia="黑体"/>
                <w:b/>
                <w:color w:val="FFFFFF"/>
                <w:sz w:val="20"/>
              </w:rPr>
              <w:t>单证类型</w:t>
            </w:r>
          </w:p>
        </w:tc>
        <w:tc>
          <w:tcPr>
            <w:tcW w:w="4680" w:type="dxa"/>
            <w:shd w:val="clear" w:color="auto" w:fill="1F4E79"/>
          </w:tcPr>
          <w:p w14:paraId="594C1AE4">
            <w:pPr>
              <w:jc w:val="center"/>
            </w:pPr>
            <w:r>
              <w:rPr>
                <w:rFonts w:ascii="黑体" w:hAnsi="黑体" w:eastAsia="黑体"/>
                <w:b/>
                <w:color w:val="FFFFFF"/>
                <w:sz w:val="20"/>
              </w:rPr>
              <w:t>保存期限</w:t>
            </w:r>
          </w:p>
        </w:tc>
      </w:tr>
      <w:tr w14:paraId="76EED3F8">
        <w:trPr>
          <w:jc w:val="center"/>
        </w:trPr>
        <w:tc>
          <w:tcPr>
            <w:tcW w:w="4680" w:type="dxa"/>
            <w:shd w:val="clear" w:color="auto" w:fill="F2F7FB"/>
          </w:tcPr>
          <w:p w14:paraId="3D01628D">
            <w:r>
              <w:rPr>
                <w:rFonts w:ascii="宋体" w:hAnsi="宋体" w:eastAsia="宋体"/>
                <w:sz w:val="20"/>
              </w:rPr>
              <w:t>核心报关单证</w:t>
            </w:r>
          </w:p>
        </w:tc>
        <w:tc>
          <w:tcPr>
            <w:tcW w:w="4680" w:type="dxa"/>
            <w:shd w:val="clear" w:color="auto" w:fill="F2F7FB"/>
          </w:tcPr>
          <w:p w14:paraId="14D947A9">
            <w:r>
              <w:rPr>
                <w:rFonts w:ascii="宋体" w:hAnsi="宋体" w:eastAsia="宋体"/>
                <w:sz w:val="20"/>
              </w:rPr>
              <w:t>自货物放行之日起至少3年</w:t>
            </w:r>
          </w:p>
        </w:tc>
      </w:tr>
      <w:tr w14:paraId="61FEEC01">
        <w:trPr>
          <w:jc w:val="center"/>
        </w:trPr>
        <w:tc>
          <w:tcPr>
            <w:tcW w:w="4680" w:type="dxa"/>
          </w:tcPr>
          <w:p w14:paraId="224DC56C">
            <w:r>
              <w:rPr>
                <w:rFonts w:ascii="宋体" w:hAnsi="宋体" w:eastAsia="宋体"/>
                <w:sz w:val="20"/>
              </w:rPr>
              <w:t>保税加工货物、减免税进口设备等有监管年限的货物相关单证</w:t>
            </w:r>
          </w:p>
        </w:tc>
        <w:tc>
          <w:tcPr>
            <w:tcW w:w="4680" w:type="dxa"/>
          </w:tcPr>
          <w:p w14:paraId="1BE8098F">
            <w:r>
              <w:rPr>
                <w:rFonts w:ascii="宋体" w:hAnsi="宋体" w:eastAsia="宋体"/>
                <w:sz w:val="20"/>
              </w:rPr>
              <w:t>监管期限结束后3年</w:t>
            </w:r>
          </w:p>
        </w:tc>
      </w:tr>
      <w:tr w14:paraId="6E2FB3A8">
        <w:trPr>
          <w:jc w:val="center"/>
        </w:trPr>
        <w:tc>
          <w:tcPr>
            <w:tcW w:w="4680" w:type="dxa"/>
            <w:shd w:val="clear" w:color="auto" w:fill="F2F7FB"/>
          </w:tcPr>
          <w:p w14:paraId="2D8F3E5B">
            <w:r>
              <w:rPr>
                <w:rFonts w:ascii="宋体" w:hAnsi="宋体" w:eastAsia="宋体"/>
                <w:sz w:val="20"/>
              </w:rPr>
              <w:t>涉税单证</w:t>
            </w:r>
          </w:p>
        </w:tc>
        <w:tc>
          <w:tcPr>
            <w:tcW w:w="4680" w:type="dxa"/>
            <w:shd w:val="clear" w:color="auto" w:fill="F2F7FB"/>
          </w:tcPr>
          <w:p w14:paraId="4D58F7B9">
            <w:r>
              <w:rPr>
                <w:rFonts w:ascii="宋体" w:hAnsi="宋体" w:eastAsia="宋体"/>
                <w:sz w:val="20"/>
              </w:rPr>
              <w:t>10年</w:t>
            </w:r>
          </w:p>
        </w:tc>
      </w:tr>
      <w:tr w14:paraId="263840AB">
        <w:trPr>
          <w:jc w:val="center"/>
        </w:trPr>
        <w:tc>
          <w:tcPr>
            <w:tcW w:w="4680" w:type="dxa"/>
          </w:tcPr>
          <w:p w14:paraId="3240EFA5">
            <w:r>
              <w:rPr>
                <w:rFonts w:ascii="宋体" w:hAnsi="宋体" w:eastAsia="宋体"/>
                <w:sz w:val="20"/>
              </w:rPr>
              <w:t>外汇相关单证</w:t>
            </w:r>
          </w:p>
        </w:tc>
        <w:tc>
          <w:tcPr>
            <w:tcW w:w="4680" w:type="dxa"/>
          </w:tcPr>
          <w:p w14:paraId="6232D5E2">
            <w:r>
              <w:rPr>
                <w:rFonts w:ascii="宋体" w:hAnsi="宋体" w:eastAsia="宋体"/>
                <w:sz w:val="20"/>
              </w:rPr>
              <w:t>5年</w:t>
            </w:r>
          </w:p>
        </w:tc>
      </w:tr>
    </w:tbl>
    <w:p w14:paraId="581609F8">
      <w:pPr>
        <w:pStyle w:val="5"/>
      </w:pPr>
      <w:r>
        <w:rPr>
          <w:rFonts w:ascii="黑体" w:hAnsi="黑体" w:eastAsia="黑体"/>
        </w:rPr>
        <w:t>三、谨慎甄别敏感物项，规范申报流程</w:t>
      </w:r>
    </w:p>
    <w:p w14:paraId="5648998D">
      <w:pPr>
        <w:spacing w:after="120" w:line="360" w:lineRule="auto"/>
      </w:pPr>
      <w:r>
        <w:rPr>
          <w:rFonts w:ascii="宋体" w:hAnsi="宋体" w:eastAsia="宋体"/>
          <w:sz w:val="21"/>
        </w:rPr>
        <w:t>对于既是一般进出口许可证管理范围、又是两用物项管理范围的商品，务必申领两用物项进、出口许可证，不得仅凭一般进出口许可证申报。对于不确定是否属于敏感物项的商品，务必留足时间向主管部门提交书面咨询。</w:t>
      </w:r>
    </w:p>
    <w:p w14:paraId="1283DFEF">
      <w:pPr>
        <w:pStyle w:val="4"/>
      </w:pPr>
      <w:r>
        <w:rPr>
          <w:rFonts w:ascii="黑体" w:hAnsi="黑体" w:eastAsia="黑体"/>
        </w:rPr>
        <w:t>结语</w:t>
      </w:r>
    </w:p>
    <w:p w14:paraId="7D3CCDD6">
      <w:pPr>
        <w:spacing w:after="120" w:line="360" w:lineRule="auto"/>
      </w:pPr>
      <w:r>
        <w:rPr>
          <w:rFonts w:ascii="宋体" w:hAnsi="宋体" w:eastAsia="宋体"/>
          <w:sz w:val="21"/>
        </w:rPr>
        <w:t>当前，国际贸易早已告别“野蛮生长”的时代。风险防控与海关合规，已成为企业生存发展的必修课，而非可选项。全球形势越是复杂多变，企业越须保持清醒认知，越应坚守合规底线——贸然出手必招致风险，侥幸闯关终将付出代价。</w:t>
      </w:r>
    </w:p>
    <w:p w14:paraId="09A79DA4">
      <w:pPr>
        <w:spacing w:after="120" w:line="360" w:lineRule="auto"/>
      </w:pPr>
      <w:r>
        <w:rPr>
          <w:rFonts w:ascii="宋体" w:hAnsi="宋体" w:eastAsia="宋体"/>
          <w:sz w:val="21"/>
        </w:rPr>
        <w:t>国际贸易的本质，不仅是“做交易”，更是“控风险”。海关合规绝非企业的额外负担，而是抵御系统性风险的制度护城河；风险防控亦非业务的附加工作，而是保障企业行稳致远的核心竞争力。</w:t>
      </w:r>
    </w:p>
    <w:p w14:paraId="4DE362A8">
      <w:pPr>
        <w:spacing w:after="120" w:line="360" w:lineRule="auto"/>
      </w:pPr>
    </w:p>
    <w:p w14:paraId="3D0E26D9">
      <w:pPr>
        <w:spacing w:after="120" w:line="360" w:lineRule="auto"/>
      </w:pPr>
      <w:r>
        <w:rPr>
          <w:rFonts w:ascii="宋体" w:hAnsi="宋体" w:eastAsia="宋体"/>
          <w:b/>
          <w:sz w:val="21"/>
        </w:rPr>
        <w:t>律师简介</w:t>
      </w:r>
    </w:p>
    <w:p w14:paraId="157DA649">
      <w:pPr>
        <w:spacing w:after="120" w:line="360" w:lineRule="auto"/>
      </w:pPr>
      <w:r>
        <w:rPr>
          <w:rFonts w:ascii="宋体" w:hAnsi="宋体" w:eastAsia="宋体"/>
          <w:sz w:val="21"/>
        </w:rPr>
        <w:t>展国红，大成上海 合伙人，邮箱：guohong.zhan@dentons.cn。深耕于中国海关法律法规以及国际贸易相关法律法规。</w:t>
      </w:r>
    </w:p>
    <w:p w14:paraId="7FEC6B0A">
      <w:pPr>
        <w:spacing w:after="120" w:line="360" w:lineRule="auto"/>
      </w:pPr>
      <w:r>
        <w:rPr>
          <w:rFonts w:ascii="宋体" w:hAnsi="宋体" w:eastAsia="宋体"/>
          <w:sz w:val="21"/>
        </w:rPr>
        <w:t>舒佳丽，大成上海 律师，邮箱：jiali.shu@dentons.cn。律师团队秘书蔡逸阳对本文亦有贡献。</w:t>
      </w:r>
    </w:p>
    <w:p w14:paraId="699B9EE9">
      <w:bookmarkStart w:id="0" w:name="_GoBack"/>
      <w:bookmarkEnd w:id="0"/>
    </w:p>
    <w:sectPr>
      <w:headerReference r:id="rId5" w:type="default"/>
      <w:footerReference r:id="rId6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70962">
    <w:pPr>
      <w:pStyle w:val="24"/>
      <w:jc w:val="center"/>
    </w:pPr>
    <w:r>
      <w:rPr>
        <w:sz w:val="18"/>
      </w:rPr>
      <w:t xml:space="preserve">—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end"/>
    </w:r>
    <w:r>
      <w:rPr>
        <w:sz w:val="1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3918D">
    <w:pPr>
      <w:pStyle w:val="25"/>
      <w:pBdr>
        <w:bottom w:val="single" w:color="CCCCCC" w:sz="4" w:space="4"/>
      </w:pBdr>
      <w:jc w:val="center"/>
    </w:pPr>
    <w:r>
      <w:rPr>
        <w:rFonts w:ascii="宋体" w:hAnsi="宋体" w:eastAsia="宋体"/>
        <w:color w:val="888888"/>
        <w:sz w:val="18"/>
      </w:rPr>
      <w:t>国际贸易风险防控与海关合规分析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FDF5E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60" w:lineRule="auto"/>
    </w:pPr>
    <w:rPr>
      <w:rFonts w:ascii="宋体" w:hAnsi="宋体" w:eastAsia="宋体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DC</cp:lastModifiedBy>
  <dcterms:modified xsi:type="dcterms:W3CDTF">2026-06-05T11:13:26Z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2092250D1DC28882D63E226AE72D2284_42</vt:lpwstr>
  </property>
  <property fmtid="{D5CDD505-2E9C-101B-9397-08002B2CF9AE}" pid="4" name="CWM995e5bb0810a11f1800041aa000041aa">
    <vt:lpwstr>CWMb08yvjx4cH1r47uUFif/VcWUhwtbMR1t3lI5606PFc36OskvqtK1Tclhv/LpXG96K7OD2s9H+ngyOYI+utj+fg==</vt:lpwstr>
  </property>
  <property fmtid="{D5CDD505-2E9C-101B-9397-08002B2CF9AE}" pid="5" name="fileWhereFroms">
    <vt:lpwstr>PpjeLB1gRN0lwrPqMaCTktstm+C/9Gzz+7dEntnObdKZkJvUKbOn5wEK7u6LzonF08gdphIo0ygNyViV5C0LTlNzRxPAMG5xPZu7uC7bv0uL1Kex5PfDuKQOg5o6epURLaTi0LjsmSIJaFWi9SmBj4BXPt/KUhOY4m5mv1+wFS/WQT5dAwbNsvvFcRmZ1+E9bxVCuTHedtfAlWHpHh6zsU/7YyfdpTFxzKfC6fats9RhmuYDr5NH8EL5iEjk0A8DdeNKsIMgyuefMBeA+jyqHg==</vt:lpwstr>
  </property>
</Properties>
</file>