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B365">
      <w:pPr>
        <w:adjustRightInd w:val="0"/>
        <w:snapToGrid w:val="0"/>
        <w:spacing w:line="360" w:lineRule="auto"/>
        <w:ind w:firstLine="480" w:firstLineChars="200"/>
        <w:rPr>
          <w:rFonts w:eastAsia="宋体"/>
        </w:rPr>
      </w:pPr>
    </w:p>
    <w:p w14:paraId="738E4840">
      <w:pPr>
        <w:adjustRightInd w:val="0"/>
        <w:snapToGrid w:val="0"/>
        <w:spacing w:line="360" w:lineRule="auto"/>
        <w:ind w:firstLine="480" w:firstLineChars="200"/>
        <w:rPr>
          <w:rFonts w:eastAsia="宋体"/>
        </w:rPr>
      </w:pPr>
    </w:p>
    <w:p w14:paraId="3476B317">
      <w:pPr>
        <w:adjustRightInd w:val="0"/>
        <w:snapToGrid w:val="0"/>
        <w:spacing w:line="360" w:lineRule="auto"/>
        <w:ind w:firstLine="561" w:firstLineChars="200"/>
        <w:jc w:val="center"/>
        <w:rPr>
          <w:rFonts w:eastAsia="宋体"/>
          <w:sz w:val="28"/>
          <w:szCs w:val="52"/>
        </w:rPr>
      </w:pPr>
      <w:r>
        <w:rPr>
          <w:rFonts w:eastAsia="宋体"/>
          <w:sz w:val="28"/>
          <w:szCs w:val="52"/>
        </w:rPr>
        <w:t>涉美</w:t>
      </w:r>
      <w:r>
        <w:rPr>
          <w:rFonts w:hint="eastAsia" w:eastAsia="宋体"/>
          <w:sz w:val="28"/>
          <w:szCs w:val="52"/>
        </w:rPr>
        <w:t>离婚</w:t>
      </w:r>
      <w:r>
        <w:rPr>
          <w:rFonts w:eastAsia="宋体"/>
          <w:sz w:val="28"/>
          <w:szCs w:val="52"/>
        </w:rPr>
        <w:t>诉讼对华送达的合规性路径</w:t>
      </w:r>
    </w:p>
    <w:p w14:paraId="705403DB">
      <w:pPr>
        <w:adjustRightInd w:val="0"/>
        <w:snapToGrid w:val="0"/>
        <w:spacing w:line="360" w:lineRule="auto"/>
        <w:ind w:firstLine="561" w:firstLineChars="200"/>
        <w:jc w:val="center"/>
        <w:rPr>
          <w:rFonts w:eastAsia="宋体"/>
          <w:sz w:val="28"/>
          <w:szCs w:val="52"/>
        </w:rPr>
      </w:pPr>
      <w:r>
        <w:rPr>
          <w:rFonts w:eastAsia="宋体"/>
          <w:sz w:val="28"/>
          <w:szCs w:val="52"/>
        </w:rPr>
        <w:t>所在单位： 上海博芸律师事务所</w:t>
      </w:r>
    </w:p>
    <w:p w14:paraId="48C14C4D">
      <w:pPr>
        <w:adjustRightInd w:val="0"/>
        <w:snapToGrid w:val="0"/>
        <w:spacing w:line="360" w:lineRule="auto"/>
        <w:ind w:firstLine="561" w:firstLineChars="200"/>
        <w:jc w:val="center"/>
        <w:rPr>
          <w:rFonts w:eastAsia="宋体"/>
          <w:sz w:val="28"/>
          <w:szCs w:val="52"/>
        </w:rPr>
      </w:pPr>
      <w:r>
        <w:rPr>
          <w:rFonts w:eastAsia="宋体"/>
          <w:sz w:val="28"/>
          <w:szCs w:val="52"/>
        </w:rPr>
        <w:t xml:space="preserve">作者： </w:t>
      </w:r>
      <w:r>
        <w:rPr>
          <w:rFonts w:hint="eastAsia" w:eastAsia="宋体"/>
          <w:sz w:val="28"/>
          <w:szCs w:val="52"/>
        </w:rPr>
        <w:t>石博</w:t>
      </w:r>
      <w:r>
        <w:rPr>
          <w:rFonts w:eastAsia="宋体"/>
          <w:sz w:val="28"/>
          <w:szCs w:val="52"/>
        </w:rPr>
        <w:t>律师</w:t>
      </w:r>
    </w:p>
    <w:p w14:paraId="1B0ABB31">
      <w:pPr>
        <w:pStyle w:val="2"/>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一、 案例导读</w:t>
      </w:r>
    </w:p>
    <w:p w14:paraId="05BC18ED">
      <w:pPr>
        <w:numPr>
          <w:numId w:val="0"/>
        </w:numPr>
        <w:adjustRightInd w:val="0"/>
        <w:snapToGrid w:val="0"/>
        <w:spacing w:line="360" w:lineRule="auto"/>
        <w:ind w:leftChars="200"/>
        <w:rPr>
          <w:rFonts w:eastAsia="宋体"/>
          <w:b w:val="0"/>
          <w:bCs w:val="0"/>
        </w:rPr>
      </w:pPr>
      <w:bookmarkStart w:id="0" w:name="_GoBack"/>
      <w:bookmarkEnd w:id="0"/>
      <w:r>
        <w:rPr>
          <w:rFonts w:eastAsia="宋体"/>
          <w:b w:val="0"/>
          <w:bCs w:val="0"/>
        </w:rPr>
        <w:t>关键词：涉外送达、《海牙送达公约》、职权送达、私人送达、司法主权、正当程序。</w:t>
      </w:r>
    </w:p>
    <w:p w14:paraId="1C14F293">
      <w:pPr>
        <w:numPr>
          <w:ilvl w:val="0"/>
          <w:numId w:val="1"/>
        </w:numPr>
        <w:adjustRightInd w:val="0"/>
        <w:snapToGrid w:val="0"/>
        <w:spacing w:line="360" w:lineRule="auto"/>
        <w:ind w:left="0" w:firstLine="480" w:firstLineChars="200"/>
        <w:rPr>
          <w:rFonts w:eastAsia="宋体"/>
          <w:b w:val="0"/>
          <w:bCs w:val="0"/>
        </w:rPr>
      </w:pPr>
      <w:r>
        <w:rPr>
          <w:rFonts w:eastAsia="宋体"/>
          <w:b w:val="0"/>
          <w:bCs w:val="0"/>
        </w:rPr>
        <w:t>案件要旨：原告</w:t>
      </w:r>
      <w:r>
        <w:rPr>
          <w:rFonts w:hint="eastAsia" w:eastAsia="宋体"/>
          <w:b w:val="0"/>
          <w:bCs w:val="0"/>
        </w:rPr>
        <w:t>甲</w:t>
      </w:r>
      <w:r>
        <w:rPr>
          <w:rFonts w:eastAsia="宋体"/>
          <w:b w:val="0"/>
          <w:bCs w:val="0"/>
        </w:rPr>
        <w:t>（中国公民）</w:t>
      </w:r>
      <w:r>
        <w:rPr>
          <w:rFonts w:hint="eastAsia" w:eastAsia="宋体"/>
          <w:b w:val="0"/>
          <w:bCs w:val="0"/>
        </w:rPr>
        <w:t>与</w:t>
      </w:r>
      <w:r>
        <w:rPr>
          <w:rFonts w:eastAsia="宋体"/>
          <w:b w:val="0"/>
          <w:bCs w:val="0"/>
        </w:rPr>
        <w:t>被告</w:t>
      </w:r>
      <w:r>
        <w:rPr>
          <w:rFonts w:hint="eastAsia" w:eastAsia="宋体"/>
          <w:b w:val="0"/>
          <w:bCs w:val="0"/>
        </w:rPr>
        <w:t>乙</w:t>
      </w:r>
      <w:r>
        <w:rPr>
          <w:rFonts w:eastAsia="宋体"/>
          <w:b w:val="0"/>
          <w:bCs w:val="0"/>
        </w:rPr>
        <w:t>（中国公民）在美国加利福尼亚州某县</w:t>
      </w:r>
      <w:r>
        <w:rPr>
          <w:rFonts w:hint="eastAsia" w:eastAsia="宋体"/>
          <w:b w:val="0"/>
          <w:bCs w:val="0"/>
        </w:rPr>
        <w:t>登记结婚，并在加州生活多年</w:t>
      </w:r>
      <w:r>
        <w:rPr>
          <w:rFonts w:eastAsia="宋体"/>
          <w:b w:val="0"/>
          <w:bCs w:val="0"/>
        </w:rPr>
        <w:t>，</w:t>
      </w:r>
      <w:r>
        <w:rPr>
          <w:rFonts w:hint="eastAsia" w:eastAsia="宋体"/>
          <w:b w:val="0"/>
          <w:bCs w:val="0"/>
        </w:rPr>
        <w:t>其后双方感情破裂，在</w:t>
      </w:r>
      <w:r>
        <w:rPr>
          <w:rFonts w:eastAsia="宋体"/>
          <w:b w:val="0"/>
          <w:bCs w:val="0"/>
        </w:rPr>
        <w:t>美国加利福尼亚州某</w:t>
      </w:r>
      <w:r>
        <w:rPr>
          <w:rFonts w:hint="eastAsia" w:eastAsia="宋体"/>
          <w:b w:val="0"/>
          <w:bCs w:val="0"/>
        </w:rPr>
        <w:t>法院申请离婚并分割在加州的不动产</w:t>
      </w:r>
      <w:r>
        <w:rPr>
          <w:rFonts w:eastAsia="宋体"/>
          <w:b w:val="0"/>
          <w:bCs w:val="0"/>
        </w:rPr>
        <w:t>。虽然案件由美国法院管辖，但受送达人身处中国境内。本案核心在于探讨中美两国送达制度的根本冲突，以及如何通过《海牙送达公约》衔接美国的“当事人送达制”与中国的“法院职权送达制”。</w:t>
      </w:r>
    </w:p>
    <w:p w14:paraId="6AAAA6E6">
      <w:pPr>
        <w:numPr>
          <w:ilvl w:val="0"/>
          <w:numId w:val="1"/>
        </w:numPr>
        <w:adjustRightInd w:val="0"/>
        <w:snapToGrid w:val="0"/>
        <w:spacing w:line="360" w:lineRule="auto"/>
        <w:ind w:left="0" w:firstLine="480" w:firstLineChars="200"/>
        <w:rPr>
          <w:rFonts w:eastAsia="宋体"/>
          <w:b w:val="0"/>
          <w:bCs w:val="0"/>
        </w:rPr>
      </w:pPr>
      <w:r>
        <w:rPr>
          <w:rFonts w:eastAsia="宋体"/>
          <w:b w:val="0"/>
          <w:bCs w:val="0"/>
        </w:rPr>
        <w:t>典型意义：本案通过剖析中美送达规则的本质差异，明确了跨境诉讼中“私力送达”在中国境内的非法性。文章旨在论证：在对华送达过程中，必须尊重受送达国以国家强制力为支撑的“职权送达”模式，通过海牙公约的法定路径实现程序正义，确保美国判决在未来具备被中国法院承认与执行的法律基础。</w:t>
      </w:r>
    </w:p>
    <w:p w14:paraId="1BD64996">
      <w:pPr>
        <w:pStyle w:val="2"/>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二、 案情背景</w:t>
      </w:r>
    </w:p>
    <w:p w14:paraId="06D1B179">
      <w:pPr>
        <w:adjustRightInd w:val="0"/>
        <w:snapToGrid w:val="0"/>
        <w:spacing w:line="360" w:lineRule="auto"/>
        <w:ind w:firstLine="480" w:firstLineChars="200"/>
        <w:rPr>
          <w:rFonts w:eastAsia="宋体"/>
          <w:b w:val="0"/>
          <w:bCs w:val="0"/>
        </w:rPr>
      </w:pPr>
      <w:r>
        <w:rPr>
          <w:rFonts w:eastAsia="宋体"/>
          <w:b w:val="0"/>
          <w:bCs w:val="0"/>
        </w:rPr>
        <w:t>原告甲与被告乙均为中国公民</w:t>
      </w:r>
      <w:r>
        <w:rPr>
          <w:rFonts w:hint="eastAsia" w:eastAsia="宋体"/>
          <w:b w:val="0"/>
          <w:bCs w:val="0"/>
        </w:rPr>
        <w:t>，</w:t>
      </w:r>
      <w:r>
        <w:rPr>
          <w:rFonts w:eastAsia="宋体"/>
          <w:b w:val="0"/>
          <w:bCs w:val="0"/>
        </w:rPr>
        <w:t>在美国加利福尼亚州某县</w:t>
      </w:r>
      <w:r>
        <w:rPr>
          <w:rFonts w:hint="eastAsia" w:eastAsia="宋体"/>
          <w:b w:val="0"/>
          <w:bCs w:val="0"/>
        </w:rPr>
        <w:t>登记结婚，并在加州生活多年</w:t>
      </w:r>
      <w:r>
        <w:rPr>
          <w:rFonts w:eastAsia="宋体"/>
          <w:b w:val="0"/>
          <w:bCs w:val="0"/>
        </w:rPr>
        <w:t>，</w:t>
      </w:r>
      <w:r>
        <w:rPr>
          <w:rFonts w:hint="eastAsia" w:eastAsia="宋体"/>
          <w:b w:val="0"/>
          <w:bCs w:val="0"/>
        </w:rPr>
        <w:t>其后被告乙回国发展，由于双方感情破裂，原告在</w:t>
      </w:r>
      <w:r>
        <w:rPr>
          <w:rFonts w:eastAsia="宋体"/>
          <w:b w:val="0"/>
          <w:bCs w:val="0"/>
        </w:rPr>
        <w:t>美国加利福尼亚州某</w:t>
      </w:r>
      <w:r>
        <w:rPr>
          <w:rFonts w:hint="eastAsia" w:eastAsia="宋体"/>
          <w:b w:val="0"/>
          <w:bCs w:val="0"/>
        </w:rPr>
        <w:t>法院申请离婚并请求分割在加州的不动产。</w:t>
      </w:r>
    </w:p>
    <w:p w14:paraId="3592285A">
      <w:pPr>
        <w:adjustRightInd w:val="0"/>
        <w:snapToGrid w:val="0"/>
        <w:spacing w:line="360" w:lineRule="auto"/>
        <w:ind w:firstLine="480" w:firstLineChars="200"/>
        <w:rPr>
          <w:rFonts w:eastAsia="宋体"/>
          <w:b w:val="0"/>
          <w:bCs w:val="0"/>
        </w:rPr>
      </w:pPr>
      <w:r>
        <w:rPr>
          <w:rFonts w:eastAsia="宋体"/>
          <w:b w:val="0"/>
          <w:bCs w:val="0"/>
        </w:rPr>
        <w:t>依据加利福尼亚州《民事诉讼法典》（CCP），诉讼开启的法定标志是传票与起诉状的送达。然而，由于被告乙此时已回到中国居住，案件涉及跨国送达。原告习惯于美式思维，试图委托私人送达员（Process Server）直接前往被告位于境内的住所交付文书。这种行为立即引发了巨大的法律争议：在送达规则迥异的中美两国之间，究竟哪一种送达方式才具备国际法律效力？</w:t>
      </w:r>
    </w:p>
    <w:p w14:paraId="2C893664">
      <w:pPr>
        <w:adjustRightInd w:val="0"/>
        <w:snapToGrid w:val="0"/>
        <w:spacing w:line="360" w:lineRule="auto"/>
        <w:ind w:firstLine="480" w:firstLineChars="200"/>
        <w:rPr>
          <w:rFonts w:eastAsia="宋体"/>
        </w:rPr>
      </w:pPr>
      <w:r>
        <w:rPr>
          <w:rFonts w:eastAsia="宋体"/>
        </w:rPr>
        <w:t>三、 办理情况及结果</w:t>
      </w:r>
    </w:p>
    <w:p w14:paraId="26F85FCA">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（一） 中美送达规则的本质冲突：职权主义 vs. 当事人主义</w:t>
      </w:r>
    </w:p>
    <w:p w14:paraId="217F8A79">
      <w:pPr>
        <w:adjustRightInd w:val="0"/>
        <w:snapToGrid w:val="0"/>
        <w:spacing w:line="360" w:lineRule="auto"/>
        <w:ind w:firstLine="480" w:firstLineChars="200"/>
        <w:rPr>
          <w:rFonts w:eastAsia="宋体"/>
          <w:b w:val="0"/>
          <w:bCs w:val="0"/>
        </w:rPr>
      </w:pPr>
      <w:r>
        <w:rPr>
          <w:rFonts w:eastAsia="宋体"/>
          <w:b w:val="0"/>
          <w:bCs w:val="0"/>
        </w:rPr>
        <w:t>在处理本案时，律师首先对两国送达制度的底层逻辑进行了深度对比。这是理解跨境送达风险的基石。</w:t>
      </w:r>
    </w:p>
    <w:p w14:paraId="34EFFF60">
      <w:pPr>
        <w:adjustRightInd w:val="0"/>
        <w:snapToGrid w:val="0"/>
        <w:spacing w:line="360" w:lineRule="auto"/>
        <w:ind w:firstLine="480" w:firstLineChars="200"/>
        <w:rPr>
          <w:rFonts w:eastAsia="宋体"/>
          <w:b w:val="0"/>
          <w:bCs w:val="0"/>
        </w:rPr>
      </w:pPr>
      <w:r>
        <w:rPr>
          <w:rFonts w:eastAsia="宋体"/>
          <w:b w:val="0"/>
          <w:bCs w:val="0"/>
        </w:rPr>
        <w:t>中国的送达规则属于典型的“职权模式”。在这种模式下，送达被视为行使国家司法主权的高度严肃行为，其法律属性是司法公权力的延伸。其实施主体必须是法院干警或由法院依法委托的特定机构。未经法院正式介入的送达行为，在境内法律体系下不仅程序无效，甚至可能被视为对国家司法主权的侵犯。</w:t>
      </w:r>
    </w:p>
    <w:p w14:paraId="7624E149">
      <w:pPr>
        <w:adjustRightInd w:val="0"/>
        <w:snapToGrid w:val="0"/>
        <w:spacing w:line="360" w:lineRule="auto"/>
        <w:ind w:firstLine="480" w:firstLineChars="200"/>
        <w:rPr>
          <w:rFonts w:eastAsia="宋体"/>
          <w:b w:val="0"/>
          <w:bCs w:val="0"/>
        </w:rPr>
      </w:pPr>
      <w:r>
        <w:rPr>
          <w:rFonts w:eastAsia="宋体"/>
          <w:b w:val="0"/>
          <w:bCs w:val="0"/>
        </w:rPr>
        <w:t>相比之下，美国的送达规则（以加州为例）遵循“当事人主义”。送达被视为一种程序性的告知行为，其核心目的在于满足宪法要求的“正当程序通知”。因此，送达通常由原告律师、私人送达员或任何与案件无利害关系的成年人完成。这种模式强调效率与当事人的主动性，但在涉及跨境法律衔接时，往往与主权国家的司法体制发生碰撞。</w:t>
      </w:r>
    </w:p>
    <w:p w14:paraId="7FE39E6F">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（二） 《海牙送达公约》的历史背景与主权防御</w:t>
      </w:r>
    </w:p>
    <w:p w14:paraId="3609161C">
      <w:pPr>
        <w:adjustRightInd w:val="0"/>
        <w:snapToGrid w:val="0"/>
        <w:spacing w:line="360" w:lineRule="auto"/>
        <w:ind w:firstLine="480" w:firstLineChars="200"/>
        <w:rPr>
          <w:rFonts w:eastAsia="宋体"/>
          <w:b w:val="0"/>
          <w:bCs w:val="0"/>
        </w:rPr>
      </w:pPr>
      <w:r>
        <w:rPr>
          <w:rFonts w:eastAsia="宋体"/>
          <w:b w:val="0"/>
          <w:bCs w:val="0"/>
        </w:rPr>
        <w:t>在论证对华送达的合规性时，必须溯源《关于向国外送达民事或商事司法文书和司法外文书公约》（英文全称：Convention of 15 November 1965 on the Service Abroad of Judicial and Extrajudicial Documents in Civil or Commercial Matters</w:t>
      </w:r>
      <w:r>
        <w:rPr>
          <w:rFonts w:hint="eastAsia" w:eastAsia="宋体"/>
          <w:b w:val="0"/>
          <w:bCs w:val="0"/>
        </w:rPr>
        <w:t>，</w:t>
      </w:r>
      <w:r>
        <w:rPr>
          <w:rFonts w:eastAsia="宋体"/>
          <w:b w:val="0"/>
          <w:bCs w:val="0"/>
        </w:rPr>
        <w:t>以下简称《海牙送达公约》）的制定逻辑。这部公约并非凭空产生，而是国际私法领域为了调和司法主权与全球化协作矛盾的产物。</w:t>
      </w:r>
    </w:p>
    <w:p w14:paraId="15A20D89">
      <w:pPr>
        <w:adjustRightInd w:val="0"/>
        <w:snapToGrid w:val="0"/>
        <w:spacing w:line="360" w:lineRule="auto"/>
        <w:ind w:firstLine="480" w:firstLineChars="200"/>
        <w:rPr>
          <w:rFonts w:eastAsia="宋体"/>
          <w:b w:val="0"/>
          <w:bCs w:val="0"/>
        </w:rPr>
      </w:pPr>
      <w:r>
        <w:rPr>
          <w:rFonts w:eastAsia="宋体"/>
          <w:b w:val="0"/>
          <w:bCs w:val="0"/>
        </w:rPr>
        <w:t>国际协作的低效与混乱 在1965年公约出台前的20世纪中叶，跨国人员流动与商事纠纷激增，但跨国送达主要依赖极端低效的外交途径（Diplomatic Channels）。文书需通过两国使领馆逐级递交，程序繁琐，耗时动辄一年以上，且极易受地缘政治波动的影响。 更为严峻的是，当时国际上缺乏统一的“合法送达”标准。各国法律对送达的定义南辕北辙</w:t>
      </w:r>
      <w:r>
        <w:rPr>
          <w:rFonts w:hint="eastAsia" w:eastAsia="宋体"/>
          <w:b w:val="0"/>
          <w:bCs w:val="0"/>
        </w:rPr>
        <w:t>，</w:t>
      </w:r>
      <w:r>
        <w:rPr>
          <w:rFonts w:eastAsia="宋体"/>
          <w:b w:val="0"/>
          <w:bCs w:val="0"/>
        </w:rPr>
        <w:t>有的法域承认邮寄，而有的则坚持必须由司法人员面递。这种混乱导致大量判决因送达程序不符合受送达国法律，而在后期承认与执行阶段被法院拒绝，造成了极大的司法资源浪费。</w:t>
      </w:r>
    </w:p>
    <w:p w14:paraId="3D0D3A7E">
      <w:pPr>
        <w:adjustRightInd w:val="0"/>
        <w:snapToGrid w:val="0"/>
        <w:spacing w:line="360" w:lineRule="auto"/>
        <w:ind w:firstLine="480" w:firstLineChars="200"/>
        <w:rPr>
          <w:rFonts w:eastAsia="宋体"/>
          <w:b w:val="0"/>
          <w:bCs w:val="0"/>
        </w:rPr>
      </w:pPr>
      <w:r>
        <w:rPr>
          <w:rFonts w:eastAsia="宋体"/>
          <w:b w:val="0"/>
          <w:bCs w:val="0"/>
        </w:rPr>
        <w:t>主权原则与司法效率的冲突是</w:t>
      </w:r>
      <w:r>
        <w:rPr>
          <w:rFonts w:hint="eastAsia" w:eastAsia="宋体"/>
          <w:b w:val="0"/>
          <w:bCs w:val="0"/>
        </w:rPr>
        <w:t>海牙</w:t>
      </w:r>
      <w:r>
        <w:rPr>
          <w:rFonts w:eastAsia="宋体"/>
          <w:b w:val="0"/>
          <w:bCs w:val="0"/>
        </w:rPr>
        <w:t>公约诞生最为深刻的法理背景，本质上是大陆法系与普通法系的博弈</w:t>
      </w:r>
      <w:r>
        <w:rPr>
          <w:rFonts w:hint="eastAsia" w:eastAsia="宋体"/>
          <w:b w:val="0"/>
          <w:bCs w:val="0"/>
        </w:rPr>
        <w:t>。</w:t>
      </w:r>
      <w:r>
        <w:rPr>
          <w:rFonts w:eastAsia="宋体"/>
          <w:b w:val="0"/>
          <w:bCs w:val="0"/>
        </w:rPr>
        <w:t>以德国、法国及中国为代表的大陆法系或民法法系国家认为，在境内递送司法文书是国家司法的职权行为，是行使司法主权的表现。外国法院或当事人若直接向其国民邮寄传票，被视为对该国司法主权的非法侵犯。以美国为代表的普通法系国家则更强调被告的知情权（Right to Notice）。基于“正当程序”（Due Process）原则，只要被告实际收到了文书，送达即被视为有效。为了平衡主权保护与司法效率，海牙国际私法会议决定起草一部统一公约，建立一套各国都能接受的官方渠道，即通过牺牲部分“私人送达便利”来换取“主权国家认可”。</w:t>
      </w:r>
    </w:p>
    <w:p w14:paraId="3921AC8D">
      <w:pPr>
        <w:adjustRightInd w:val="0"/>
        <w:snapToGrid w:val="0"/>
        <w:spacing w:line="360" w:lineRule="auto"/>
        <w:ind w:firstLine="480" w:firstLineChars="200"/>
        <w:rPr>
          <w:rFonts w:eastAsia="宋体"/>
          <w:b w:val="0"/>
          <w:bCs w:val="0"/>
        </w:rPr>
      </w:pPr>
      <w:r>
        <w:rPr>
          <w:rFonts w:eastAsia="宋体"/>
          <w:b w:val="0"/>
          <w:bCs w:val="0"/>
        </w:rPr>
        <w:t>中央机关机制的引入 《海牙送达公约》是对1905年和1954年旧版《民事诉讼程序公约》的重大升级。旧公约覆盖面窄且沟通链条冗长，已无法适应现代贸易需求。 1965年公约最具革命性的贡献是引入了“中央机关”（Central Authority）机制。公约要求每个成员国设立专门窗口统一负责接收并处理外国的送达请求。中国于1991年加入该公约时，明确指定司法部为中央机关。这一机制不仅确定了送达的合法性路径，确保判决能得到对方国家承认，还通过统一的送达证明模板提供了坚实的证据支持，从而在保障司法主权的同时，最大限度地缩短了跨国诉讼周期。</w:t>
      </w:r>
    </w:p>
    <w:p w14:paraId="5BE57BEE">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（三） 判例下的法理指向</w:t>
      </w:r>
    </w:p>
    <w:p w14:paraId="0AB6BB55">
      <w:pPr>
        <w:adjustRightInd w:val="0"/>
        <w:snapToGrid w:val="0"/>
        <w:spacing w:line="360" w:lineRule="auto"/>
        <w:ind w:firstLine="480" w:firstLineChars="200"/>
        <w:rPr>
          <w:rFonts w:eastAsia="宋体"/>
          <w:b w:val="0"/>
          <w:bCs w:val="0"/>
        </w:rPr>
      </w:pPr>
      <w:r>
        <w:rPr>
          <w:rFonts w:eastAsia="宋体"/>
          <w:b w:val="0"/>
          <w:bCs w:val="0"/>
        </w:rPr>
        <w:t xml:space="preserve">在1988年的 </w:t>
      </w:r>
      <w:r>
        <w:rPr>
          <w:rFonts w:eastAsia="宋体"/>
          <w:i/>
          <w:iCs/>
        </w:rPr>
        <w:t>Volkswagenwerk AG v. Schlunk</w:t>
      </w:r>
      <w:r>
        <w:rPr>
          <w:rFonts w:eastAsia="宋体"/>
          <w:b w:val="0"/>
          <w:bCs w:val="0"/>
        </w:rPr>
        <w:t xml:space="preserve"> 案中，最高法院明确，若受送达人位于公约成员国，且该国法律要求通过官方途径，则《海牙公约》是排他性且强制性的路径。该案终结了“是否可以依据州法替代公约”的长期争论。</w:t>
      </w:r>
    </w:p>
    <w:p w14:paraId="1F3D6C18">
      <w:pPr>
        <w:adjustRightInd w:val="0"/>
        <w:snapToGrid w:val="0"/>
        <w:spacing w:line="360" w:lineRule="auto"/>
        <w:ind w:firstLine="480" w:firstLineChars="200"/>
        <w:rPr>
          <w:rFonts w:eastAsia="宋体"/>
          <w:b w:val="0"/>
          <w:bCs w:val="0"/>
        </w:rPr>
      </w:pPr>
      <w:r>
        <w:rPr>
          <w:rFonts w:eastAsia="宋体"/>
          <w:b w:val="0"/>
          <w:bCs w:val="0"/>
        </w:rPr>
        <w:t>随后的2017年</w:t>
      </w:r>
      <w:r>
        <w:rPr>
          <w:rFonts w:eastAsia="宋体"/>
        </w:rPr>
        <w:t xml:space="preserve"> </w:t>
      </w:r>
      <w:r>
        <w:rPr>
          <w:rFonts w:eastAsia="宋体"/>
          <w:i/>
          <w:iCs/>
        </w:rPr>
        <w:t>Water Splash v. Menon</w:t>
      </w:r>
      <w:r>
        <w:rPr>
          <w:rFonts w:eastAsia="宋体"/>
        </w:rPr>
        <w:t xml:space="preserve"> </w:t>
      </w:r>
      <w:r>
        <w:rPr>
          <w:rFonts w:eastAsia="宋体"/>
          <w:b w:val="0"/>
          <w:bCs w:val="0"/>
        </w:rPr>
        <w:t>案则进一步探讨了邮寄送达的效力。尽管该判例认为公约本身并不绝对禁止邮寄送达，但强调了一个关键限制</w:t>
      </w:r>
      <w:r>
        <w:rPr>
          <w:rFonts w:hint="eastAsia" w:eastAsia="宋体"/>
          <w:b w:val="0"/>
          <w:bCs w:val="0"/>
        </w:rPr>
        <w:t>，</w:t>
      </w:r>
      <w:r>
        <w:rPr>
          <w:rFonts w:eastAsia="宋体"/>
          <w:b w:val="0"/>
          <w:bCs w:val="0"/>
        </w:rPr>
        <w:t>如果受送达国（如中国）对该条款作出了保留，则邮寄送达在法律上无效。本案原告试图通过邮寄或私力送达，正是无视了受送达国主权保留的警示。</w:t>
      </w:r>
    </w:p>
    <w:p w14:paraId="1268A1C0">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（四） 实务对比</w:t>
      </w:r>
    </w:p>
    <w:p w14:paraId="5A7BC9B8">
      <w:pPr>
        <w:adjustRightInd w:val="0"/>
        <w:snapToGrid w:val="0"/>
        <w:spacing w:line="360" w:lineRule="auto"/>
        <w:ind w:firstLine="480" w:firstLineChars="200"/>
        <w:rPr>
          <w:rFonts w:eastAsia="宋体"/>
          <w:b w:val="0"/>
          <w:bCs w:val="0"/>
        </w:rPr>
      </w:pPr>
      <w:r>
        <w:rPr>
          <w:rFonts w:eastAsia="宋体"/>
          <w:b w:val="0"/>
          <w:bCs w:val="0"/>
        </w:rPr>
        <w:t>在处理对华诉讼时，不同州的民事诉讼规则在与国际公约衔接时存在差异。加州民事诉讼法典（CCP § 413.10）明确规定，在境外送达时必须遵循国际公约。加州法院对程序瑕疵的容忍度极低，若送达不符合海牙公约，被告极易通过申请撤销送达（Motion to Quash）来使程序空转。而纽约州民事权利法（CPLR § 313）虽然理论上允许以本地方式送达境外，但在司法实践中仍受到《海牙公约》的排他性约束。纽约法院在极少数情况下可能允许“替代送达”，但在涉及对华送达时，由于中国主权立场坚定，法院通常也极其谨慎地要求回归海牙流程。</w:t>
      </w:r>
    </w:p>
    <w:p w14:paraId="605CC242">
      <w:pPr>
        <w:pStyle w:val="2"/>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四、 案例评析：国际协作中的程序正义</w:t>
      </w:r>
    </w:p>
    <w:p w14:paraId="619553B0">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（一） “职权送达”是中国司法的底线</w:t>
      </w:r>
    </w:p>
    <w:p w14:paraId="38B86E7D">
      <w:pPr>
        <w:adjustRightInd w:val="0"/>
        <w:snapToGrid w:val="0"/>
        <w:spacing w:line="360" w:lineRule="auto"/>
        <w:ind w:firstLine="480" w:firstLineChars="200"/>
        <w:rPr>
          <w:rFonts w:eastAsia="宋体"/>
          <w:b w:val="0"/>
          <w:bCs w:val="0"/>
        </w:rPr>
      </w:pPr>
      <w:r>
        <w:rPr>
          <w:rFonts w:eastAsia="宋体"/>
          <w:b w:val="0"/>
          <w:bCs w:val="0"/>
        </w:rPr>
        <w:t>在本案中，原告与被告虽同为中国公民，但</w:t>
      </w:r>
      <w:r>
        <w:rPr>
          <w:rFonts w:hint="eastAsia" w:eastAsia="宋体"/>
          <w:b w:val="0"/>
          <w:bCs w:val="0"/>
        </w:rPr>
        <w:t>案件管辖</w:t>
      </w:r>
      <w:r>
        <w:rPr>
          <w:rFonts w:eastAsia="宋体"/>
          <w:b w:val="0"/>
          <w:bCs w:val="0"/>
        </w:rPr>
        <w:t>地在美国。如果允许原告委托私人送达员在境内完成送达，将直接挑战中国《民事诉讼法》第二百九十三条‌的红线，即除</w:t>
      </w:r>
      <w:r>
        <w:rPr>
          <w:rFonts w:hint="eastAsia" w:eastAsia="宋体"/>
          <w:b w:val="0"/>
          <w:bCs w:val="0"/>
        </w:rPr>
        <w:t>另有</w:t>
      </w:r>
      <w:r>
        <w:rPr>
          <w:rFonts w:eastAsia="宋体"/>
          <w:b w:val="0"/>
          <w:bCs w:val="0"/>
        </w:rPr>
        <w:t>规定的情况外，未经中华人民共和国主管机关准许，任何外国机关或者个人不得在中华人民共和国领域内送达文书、调查取证。</w:t>
      </w:r>
    </w:p>
    <w:p w14:paraId="16738C4D">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（二） 中央机关途径的必要性</w:t>
      </w:r>
    </w:p>
    <w:p w14:paraId="69DA261C">
      <w:pPr>
        <w:adjustRightInd w:val="0"/>
        <w:snapToGrid w:val="0"/>
        <w:spacing w:line="360" w:lineRule="auto"/>
        <w:ind w:firstLine="480" w:firstLineChars="200"/>
        <w:rPr>
          <w:rFonts w:eastAsia="宋体"/>
          <w:b w:val="0"/>
          <w:bCs w:val="0"/>
        </w:rPr>
      </w:pPr>
      <w:r>
        <w:rPr>
          <w:rFonts w:eastAsia="宋体"/>
          <w:b w:val="0"/>
          <w:bCs w:val="0"/>
        </w:rPr>
        <w:t>通过中国司法部这一“中央机关”进行流转，实际上是将美国的“当事人启动”有效转化为中国的“法院实施”。只有当加州的诉讼文书被翻译成中文，并由境内基层法院的法官亲自递交给被告乙时，中美两国的法律要求才在《海牙公约》的框架下达成了闭环。</w:t>
      </w:r>
    </w:p>
    <w:p w14:paraId="7F2556AF">
      <w:pPr>
        <w:pStyle w:val="2"/>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五、 价值和示范作用：跨境律师的合规建议</w:t>
      </w:r>
    </w:p>
    <w:p w14:paraId="567B8543">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（一） 给跨境原告的警示</w:t>
      </w:r>
    </w:p>
    <w:p w14:paraId="5BB447C2">
      <w:pPr>
        <w:adjustRightInd w:val="0"/>
        <w:snapToGrid w:val="0"/>
        <w:spacing w:line="360" w:lineRule="auto"/>
        <w:ind w:firstLine="480" w:firstLineChars="200"/>
        <w:rPr>
          <w:rFonts w:eastAsia="宋体"/>
          <w:b w:val="0"/>
          <w:bCs w:val="0"/>
        </w:rPr>
      </w:pPr>
      <w:r>
        <w:rPr>
          <w:rFonts w:eastAsia="宋体"/>
          <w:b w:val="0"/>
          <w:bCs w:val="0"/>
        </w:rPr>
        <w:t>律师应提醒当事人放弃“效率错觉”。虽然委托加州送达员貌似快速，但在境内不仅无效，还会让被告以此为由拖延诉讼，甚至导致未来的判决因“未经合法传唤”而无法被中国法院承认。此外，必须严格依据公约第五条提供准确的中文译本，否则将面临被中央机关退卷的风险。</w:t>
      </w:r>
    </w:p>
    <w:p w14:paraId="2E31D750">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（二） 给境内被告的抗辩指引</w:t>
      </w:r>
    </w:p>
    <w:p w14:paraId="491DD8E0">
      <w:pPr>
        <w:adjustRightInd w:val="0"/>
        <w:snapToGrid w:val="0"/>
        <w:spacing w:line="360" w:lineRule="auto"/>
        <w:ind w:firstLine="480" w:firstLineChars="200"/>
        <w:rPr>
          <w:rFonts w:eastAsia="宋体"/>
          <w:b w:val="0"/>
          <w:bCs w:val="0"/>
        </w:rPr>
      </w:pPr>
      <w:r>
        <w:rPr>
          <w:rFonts w:eastAsia="宋体"/>
          <w:b w:val="0"/>
          <w:bCs w:val="0"/>
        </w:rPr>
        <w:t>一旦发现原告采取私人送达或邮寄送达，应第一时间通过加州律师向法庭提交特别出庭声明，主张送达瑕疵及主权违规，申请撤销送达。</w:t>
      </w:r>
    </w:p>
    <w:p w14:paraId="1915E7CA">
      <w:pPr>
        <w:pStyle w:val="3"/>
        <w:adjustRightInd w:val="0"/>
        <w:snapToGrid w:val="0"/>
        <w:spacing w:before="0"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（三） 社会意义</w:t>
      </w:r>
    </w:p>
    <w:p w14:paraId="7869DEC3">
      <w:pPr>
        <w:adjustRightInd w:val="0"/>
        <w:snapToGrid w:val="0"/>
        <w:spacing w:line="360" w:lineRule="auto"/>
        <w:ind w:firstLine="480" w:firstLineChars="200"/>
        <w:rPr>
          <w:rFonts w:eastAsia="宋体"/>
          <w:b w:val="0"/>
          <w:bCs w:val="0"/>
        </w:rPr>
      </w:pPr>
      <w:r>
        <w:rPr>
          <w:rFonts w:eastAsia="宋体"/>
          <w:b w:val="0"/>
          <w:bCs w:val="0"/>
        </w:rPr>
        <w:t>本案证明，在跨境法律博弈中，最慢的路径往往是唯一的稳健路径。尊重并理解中美两国在“送达权”归属上的文化与法律差异，是每一个从事涉外法律服务的律师必须具备的全局观。只有回归到《海牙公约》的共识轨道上，才能真正实现法律文书的跨国流动。</w:t>
      </w:r>
    </w:p>
    <w:p w14:paraId="3162AFD9">
      <w:pPr>
        <w:adjustRightInd w:val="0"/>
        <w:snapToGrid w:val="0"/>
        <w:spacing w:line="360" w:lineRule="auto"/>
        <w:ind w:firstLine="480" w:firstLineChars="200"/>
        <w:rPr>
          <w:rFonts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65026"/>
    <w:multiLevelType w:val="multilevel"/>
    <w:tmpl w:val="6BD650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76"/>
    <w:rsid w:val="001C08DF"/>
    <w:rsid w:val="00256543"/>
    <w:rsid w:val="00356076"/>
    <w:rsid w:val="00411992"/>
    <w:rsid w:val="005B3C49"/>
    <w:rsid w:val="00666A39"/>
    <w:rsid w:val="00725668"/>
    <w:rsid w:val="007365DD"/>
    <w:rsid w:val="00745692"/>
    <w:rsid w:val="6D6318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ajorBidi"/>
      <w:b/>
      <w:bCs/>
      <w:color w:val="000000" w:themeColor="text1"/>
      <w:kern w:val="2"/>
      <w:sz w:val="24"/>
      <w:szCs w:val="48"/>
      <w:lang w:val="en-US" w:eastAsia="zh-CN" w:bidi="ar-SA"/>
      <w14:textFill>
        <w14:solidFill>
          <w14:schemeClr w14:val="tx1"/>
        </w14:solidFill>
      </w14:textFil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olor w:val="2F5597" w:themeColor="accent1" w:themeShade="BF"/>
      <w:sz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color w:val="2F5597" w:themeColor="accent1" w:themeShade="BF"/>
      <w:szCs w:val="24"/>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asciiTheme="minorHAnsi" w:hAnsiTheme="minorHAns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rPr>
      <w:rFonts w:cs="Times New Roman"/>
      <w:szCs w:val="24"/>
    </w:rPr>
  </w:style>
  <w:style w:type="paragraph" w:styleId="13">
    <w:name w:val="Title"/>
    <w:basedOn w:val="1"/>
    <w:next w:val="1"/>
    <w:link w:val="25"/>
    <w:qFormat/>
    <w:uiPriority w:val="10"/>
    <w:pPr>
      <w:spacing w:after="80"/>
      <w:contextualSpacing/>
      <w:jc w:val="center"/>
    </w:pPr>
    <w:rPr>
      <w:rFonts w:asciiTheme="majorHAnsi" w:hAnsiTheme="majorHAnsi" w:eastAsiaTheme="majorEastAsia"/>
      <w:color w:val="auto"/>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olor w:val="2F5597" w:themeColor="accent1" w:themeShade="BF"/>
      <w:sz w:val="48"/>
    </w:rPr>
  </w:style>
  <w:style w:type="character" w:customStyle="1" w:styleId="17">
    <w:name w:val="标题 2 字符"/>
    <w:basedOn w:val="15"/>
    <w:link w:val="3"/>
    <w:qFormat/>
    <w:uiPriority w:val="9"/>
    <w:rPr>
      <w:rFonts w:asciiTheme="majorHAnsi" w:hAnsiTheme="majorHAnsi" w:eastAsiaTheme="majorEastAsia"/>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olor w:val="2F5597" w:themeColor="accent1" w:themeShade="BF"/>
      <w:sz w:val="32"/>
      <w:szCs w:val="32"/>
    </w:rPr>
  </w:style>
  <w:style w:type="character" w:customStyle="1" w:styleId="19">
    <w:name w:val="标题 4 字符"/>
    <w:basedOn w:val="15"/>
    <w:link w:val="5"/>
    <w:semiHidden/>
    <w:qFormat/>
    <w:uiPriority w:val="9"/>
    <w:rPr>
      <w:rFonts w:asciiTheme="minorHAnsi" w:hAnsiTheme="minorHAnsi"/>
      <w:color w:val="2F5597" w:themeColor="accent1" w:themeShade="BF"/>
      <w:sz w:val="28"/>
      <w:szCs w:val="28"/>
    </w:rPr>
  </w:style>
  <w:style w:type="character" w:customStyle="1" w:styleId="20">
    <w:name w:val="标题 5 字符"/>
    <w:basedOn w:val="15"/>
    <w:link w:val="6"/>
    <w:semiHidden/>
    <w:qFormat/>
    <w:uiPriority w:val="9"/>
    <w:rPr>
      <w:rFonts w:asciiTheme="minorHAnsi" w:hAnsiTheme="minorHAnsi"/>
      <w:color w:val="2F5597" w:themeColor="accent1" w:themeShade="BF"/>
      <w:szCs w:val="24"/>
    </w:rPr>
  </w:style>
  <w:style w:type="character" w:customStyle="1" w:styleId="21">
    <w:name w:val="标题 6 字符"/>
    <w:basedOn w:val="15"/>
    <w:link w:val="7"/>
    <w:semiHidden/>
    <w:qFormat/>
    <w:uiPriority w:val="9"/>
    <w:rPr>
      <w:rFonts w:asciiTheme="minorHAnsi" w:hAnsiTheme="minorHAnsi"/>
      <w:color w:val="2F5597" w:themeColor="accent1" w:themeShade="BF"/>
    </w:rPr>
  </w:style>
  <w:style w:type="character" w:customStyle="1" w:styleId="22">
    <w:name w:val="标题 7 字符"/>
    <w:basedOn w:val="15"/>
    <w:link w:val="8"/>
    <w:semiHidden/>
    <w:qFormat/>
    <w:uiPriority w:val="9"/>
    <w:rPr>
      <w:rFonts w:asciiTheme="minorHAnsi" w:hAnsiTheme="minorHAnsi"/>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asciiTheme="minorHAnsi" w:hAnsiTheme="minorHAns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asciiTheme="minorHAnsi" w:hAnsiTheme="minorHAnsi" w:eastAsiaTheme="majorEastAsia"/>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olor w:val="auto"/>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498</Words>
  <Characters>2840</Characters>
  <Lines>23</Lines>
  <Paragraphs>6</Paragraphs>
  <TotalTime>31</TotalTime>
  <ScaleCrop>false</ScaleCrop>
  <LinksUpToDate>false</LinksUpToDate>
  <CharactersWithSpaces>3332</CharactersWithSpaces>
  <Application>WPS Office WWO_feishu_20241028185521-3ecd29d096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2026-05-11T02:08:00Z</dcterms:created>
  <dc:creator>博 石</dc:creator>
  <cp:lastModifiedBy>博 石</cp:lastModifiedBy>
  <dcterms:modified xsi:type="dcterms:W3CDTF">2026-05-15T10:16:07Z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9D7198032B912F17E781066A7F864D1B_43</vt:lpwstr>
  </property>
</Properties>
</file>