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4BF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vertAlign w:val="baseline"/>
          <w:lang w:val="en-US" w:eastAsia="zh-CN"/>
        </w:rPr>
        <w:t>清洁提单下木材运输短损案：承运人责任认定、损失计算与甲板货免责条款的司法裁量</w:t>
      </w:r>
    </w:p>
    <w:p w14:paraId="411BA931">
      <w:pPr>
        <w:rPr>
          <w:rFonts w:hint="eastAsia"/>
        </w:rPr>
      </w:pPr>
    </w:p>
    <w:p w14:paraId="56234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所在单位：浙江泽大（上海）律师事务所</w:t>
      </w:r>
    </w:p>
    <w:p w14:paraId="1BFD9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300" w:firstLineChars="1100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作者：曾彩丽</w:t>
      </w:r>
    </w:p>
    <w:p w14:paraId="330A4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6D866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一、案例导读</w:t>
      </w:r>
    </w:p>
    <w:p w14:paraId="5142B145">
      <w:pPr>
        <w:rPr>
          <w:rFonts w:hint="eastAsia"/>
        </w:rPr>
      </w:pPr>
    </w:p>
    <w:p w14:paraId="0E9E5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关键词：</w:t>
      </w:r>
      <w:r>
        <w:rPr>
          <w:rFonts w:hint="eastAsia" w:ascii="仿宋" w:hAnsi="仿宋" w:eastAsia="仿宋" w:cs="仿宋"/>
          <w:sz w:val="30"/>
          <w:szCs w:val="30"/>
        </w:rPr>
        <w:t>海上货物运输合同、货物短量与损坏、承运人责任、货物贬损率计算</w:t>
      </w:r>
    </w:p>
    <w:p w14:paraId="6A0BD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7FF10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裁决要旨：</w:t>
      </w:r>
    </w:p>
    <w:p w14:paraId="3CBD7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货损认定与责任推定：在承运人签发清洁提单且收货人持有正本提单的情况下，若目的港交货时货物发生损坏或短少，若无证据证明货损系由法定免责事由（如货物自然特性）造成，应推定货损发生在承运人责任期间，承运人应承担赔偿责任。</w:t>
      </w:r>
    </w:p>
    <w:p w14:paraId="7AA43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甲板货约定免责的效力与限制：提单中“甲板货风险由货方承担”的约定有效，承运人可据此就甲板货物因特殊风险造成的损失主张免责。但当甲板货与舱内货货损原因无法区分时，法院可根据甲板货占总货量比例，酌定承运人可对相应比例的货损免责。</w:t>
      </w:r>
    </w:p>
    <w:p w14:paraId="169B5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货损计算方法的认定：在货物发生损坏但已实际处置的情况下，货物贬值率法是计算货损金额的合理方法。贬值率 = (完好货物市场价 - 受损货物实际销售价) / 完好货物市场价。货物受损前价值按CIF（成本、保险费、运费）价格计算，但权利人可自愿选择以较低的CFR（成本加运费）价格计算。</w:t>
      </w:r>
    </w:p>
    <w:p w14:paraId="70ED3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4852F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典型意义：</w:t>
      </w:r>
    </w:p>
    <w:p w14:paraId="0A5ED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案是涉外海上货物运输合同纠纷的典型判例，清晰展示了货方（收货人/提单持有人）在遭遇货物短损时，如何通过证据组织、货损计算及诉讼策略维护自身权益。同时，判决对承运人援引提单甲板货免责条款的认定、对“货物自然特性”免责事由的举证责任分配，以及对货损金额（特别是混合损失中“短量”与“货损”的区分计算）的精细化审理逻辑，具有重要的司法实践指导价值，为航运、贸易及保险等相关行业处理类似争议提供了明确的规则指引。</w:t>
      </w:r>
    </w:p>
    <w:p w14:paraId="4D736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7C5D1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二、案情背景</w:t>
      </w:r>
    </w:p>
    <w:p w14:paraId="4309B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原告重庆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A</w:t>
      </w:r>
      <w:r>
        <w:rPr>
          <w:rFonts w:hint="eastAsia" w:ascii="仿宋" w:hAnsi="仿宋" w:eastAsia="仿宋" w:cs="仿宋"/>
          <w:sz w:val="30"/>
          <w:szCs w:val="30"/>
        </w:rPr>
        <w:t>产品有限公司（买方）从境外采购一批乌拉圭松原木，由被告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B</w:t>
      </w:r>
      <w:r>
        <w:rPr>
          <w:rFonts w:hint="eastAsia" w:ascii="仿宋" w:hAnsi="仿宋" w:eastAsia="仿宋" w:cs="仿宋"/>
          <w:sz w:val="30"/>
          <w:szCs w:val="30"/>
        </w:rPr>
        <w:t>公司所有的“S”轮承运。船长签发了六份清洁已装船提单，部分提单记载货物装载于甲板，并注明“由托运人承担风险”。运输途中，船舶因搁浅返回起运港修理，货物被卸至露天堆场存放近半年。货物运抵目的港（中国太仓港）后，经检验发现存在严重短少和霉变、腐朽等损坏。原告委托的中国检验认证集团江苏有限公司（CCIC）出具鉴定报告，认定存在短量损失564,832.58美元和货损损失1,414,087.91美元。原告据此向南京海事法院提起诉讼，要求承运人（被告）赔偿损失。货物后续经双方协商，通过公开拍卖等方式处置。诉讼中，双方就货物是否发生短损、承运人是否应承担责任、货损金额如何计算等焦点问题产生激烈争议。</w:t>
      </w:r>
    </w:p>
    <w:p w14:paraId="79CF4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1FBF3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三、核心争议焦点及结果</w:t>
      </w:r>
    </w:p>
    <w:p w14:paraId="15868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1" w:firstLineChars="1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核心争议焦点：</w:t>
      </w:r>
    </w:p>
    <w:p w14:paraId="0D8C3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涉案货物在运输过程中是否发生了短量和货损？</w:t>
      </w:r>
    </w:p>
    <w:p w14:paraId="14DEF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如果发生短损，承运人被告是否应当承担赔偿责任？</w:t>
      </w:r>
    </w:p>
    <w:p w14:paraId="44D60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若承运人需担责，具体的损失金额应如何计算？</w:t>
      </w:r>
    </w:p>
    <w:p w14:paraId="31BD4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2C2215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1" w:firstLineChars="1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裁决结果：</w:t>
      </w:r>
    </w:p>
    <w:p w14:paraId="0BA946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经审理，法院认定：</w:t>
      </w:r>
    </w:p>
    <w:p w14:paraId="384B71A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涉案货物确实发生了短量（短少4490.329 JAS立方米）和全批货物的品质损坏（霉变、腐朽）。</w:t>
      </w:r>
    </w:p>
    <w:p w14:paraId="32395D2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责任认定：被告作为承运人，在责任期间未能妥善、谨慎地保管、照料货物（尤其体现在返航修理期间将货物露天堆放），且未能举证证明货损系由“货物的自然特性或者固有缺陷”等法定免责事由所致，应当对货损承担赔偿责任。</w:t>
      </w:r>
    </w:p>
    <w:p w14:paraId="511D7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损失计算：</w:t>
      </w:r>
    </w:p>
    <w:p w14:paraId="1FD8D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短量损失：认可原告主张的564,832.58美元，但扣除了已售断木的价值182,487.5美元，最终认定为382,345.08美元。</w:t>
      </w:r>
    </w:p>
    <w:p w14:paraId="34DF8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货损损失：采纳双方庭上达成一致的“贬值率法”进行计算。计算出整体贬值率后，结合货物CFR价值，认定货损金额为1,081,831.45美元。</w:t>
      </w:r>
    </w:p>
    <w:p w14:paraId="4AAC5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甲板货免责：因提单约定甲板货风险由货方承担，且卸货时未区分甲板货与舱内货，法院酌定被告对31.5%的损失（对应甲板货比例）免责。</w:t>
      </w:r>
    </w:p>
    <w:p w14:paraId="54C92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587EC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最终判决：被告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B</w:t>
      </w:r>
      <w:r>
        <w:rPr>
          <w:rFonts w:hint="eastAsia" w:ascii="仿宋" w:hAnsi="仿宋" w:eastAsia="仿宋" w:cs="仿宋"/>
          <w:sz w:val="30"/>
          <w:szCs w:val="30"/>
        </w:rPr>
        <w:t>公司应向原告重庆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A</w:t>
      </w:r>
      <w:r>
        <w:rPr>
          <w:rFonts w:hint="eastAsia" w:ascii="仿宋" w:hAnsi="仿宋" w:eastAsia="仿宋" w:cs="仿宋"/>
          <w:sz w:val="30"/>
          <w:szCs w:val="30"/>
        </w:rPr>
        <w:t>产品有限公司赔偿总计1,002,960.9美元（按判决日汇率折算为人民币6,384,147元）及相应利息。</w:t>
      </w:r>
    </w:p>
    <w:p w14:paraId="24C8A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7F19D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四、案例评析</w:t>
      </w:r>
    </w:p>
    <w:p w14:paraId="3E5C5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“清洁提单”与承运人责任起点的强化：本案再次强调了清洁提单的证据效力。法院明确指出，承运人签发“外表状况良好”的清洁提单，是认定装货时货物表面状况良好的初步证据。当目的港交货出现货损时，举证责任转移至承运人，其必须证明存在法定免责情形。被告主张货损系木材“自然属性”所致但未能举证，故承担了败诉后果。这强化了承运人在接收、装载货物时的审慎查验和批注义务。</w:t>
      </w:r>
    </w:p>
    <w:p w14:paraId="3F7BD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货损计算方法的司法选择与创新：本案在损失计算上极具参考价值。原告最初依据CCIC的“出材率法”索赔，但法院认为该方法缺乏参照标准，未予采纳。在诉讼过程中，双方经法庭引导，协商一致采用“贬值率法”，即通过比较完好货物市场价与实际处置价来计算贬值率。这种方法紧扣《海商法》第五十五条“货物损坏的赔偿额，按照货物受损前后实际价值的差额计算”的规定，更符合市场实际和损害赔偿的“填平原则”，也为类似已处置货物的货损索赔提供了可行的计算路径。</w:t>
      </w:r>
    </w:p>
    <w:p w14:paraId="19B52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混合损失（短量+损坏）的精细化区分计算：法院没有笼统处理损失，而是将“短量”（物理灭失）与“货损”（品质贬值）分开计算。对于短量，按装船价值计算；对于货损，按贬值率计算。尤其值得注意的是，法院指出CCIC将全部断木计入“短量”的做法在业内虽可理解，但因原告实际拍卖处置了断木并获得价款，故在计算短量损失时，将断木的销售款从短量总损失中予以扣除，体现了损失计算的精确性和公平性，避免了权利人可能获得双重利益。</w:t>
      </w:r>
    </w:p>
    <w:p w14:paraId="35716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</w:t>
      </w:r>
      <w:r>
        <w:rPr>
          <w:rFonts w:hint="eastAsia" w:ascii="仿宋" w:hAnsi="仿宋" w:eastAsia="仿宋" w:cs="仿宋"/>
          <w:sz w:val="30"/>
          <w:szCs w:val="30"/>
        </w:rPr>
        <w:t>甲板货免责条款的效力与司法裁量：判决承认了提单中甲板货免责条款的效力，符合《海商法》第五十三条的规定。但当甲板货与舱内货发生同一性质货损（本案均为霉变腐朽）且无法区分时，法院并未完全免除承运人对甲板货损失的责任，而是基于公平原则，根据甲板货占总量比例（31.5%）酌定免责范围。这体现了司法实践在尊重合同约定与公平划分责任之间的平衡。</w:t>
      </w:r>
    </w:p>
    <w:p w14:paraId="0E47B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2EED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五、价值和示范作用（对出海企业的启示和风险防范建议）</w:t>
      </w:r>
    </w:p>
    <w:p w14:paraId="39467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40411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对货方（贸易商/收货人）的启示：</w:t>
      </w:r>
    </w:p>
    <w:p w14:paraId="7BA51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及时检验，固定证据：货物到港后，应立即申请有资质的第三方检验机构（如CCIC）进行联合检验，并尽可能邀请承运人、保险公司代表共同参与，形成具有公信力的检验报告，为后续索赔奠定事实基础。</w:t>
      </w:r>
    </w:p>
    <w:p w14:paraId="36BC0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谨慎选择索赔依据：损失计算方式直接影响索赔金额。在货物发生损坏且计划转售时，“贬值率法”（通过市场比较）可能比理论推算的“出材率法”或“修复费用法”更具说服力，也更容易被司法裁判采纳。应提前咨询专业律师，选择最有利的损失核算方案。</w:t>
      </w:r>
    </w:p>
    <w:p w14:paraId="7BD79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妥善进行减损处置：发生货损后，应及时、合理地处理受损货物，并完整保留所有处置记录（如询价函、拍卖公告、销售合同、付款凭证、过磅单等）。本案中原告因未能提供清晰的断木过磅单，导致法院对断木销售数量进行酌定，影响了最终获赔金额。</w:t>
      </w:r>
    </w:p>
    <w:p w14:paraId="32EA0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关注甲板货条款：在订立贸易合同或审查提单时，应特别注意是否有“甲板货”及其风险承担的约定，充分评估由此带来的额外风险。</w:t>
      </w:r>
    </w:p>
    <w:p w14:paraId="358DC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60932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对承运人（船东）的启示：</w:t>
      </w:r>
    </w:p>
    <w:p w14:paraId="6C95D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严格履行管货义务：承运人的责任期间始于装货终于卸货。即使在非计划停泊（如本案修船）期间，只要货物在其掌管之下，就必须履行妥善、谨慎地保管、照料货物的义务。本案中货物在修船期间被露天堆放，成为承运人管货不当的关键证据。</w:t>
      </w:r>
    </w:p>
    <w:p w14:paraId="7DE93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善用提单批注，积极举证：装货时若发现货物状况不良，应在提单上如实批注，避免签发清洁提单。发生货损争议时，应积极委托第三方检验并收集证据，以证明货损系由法定免责事由（如货物的自然特性、固有缺陷、甲板货特殊风险等）造成，否则将承担举证不能的不利后果。</w:t>
      </w:r>
    </w:p>
    <w:p w14:paraId="4F12E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00" w:firstLineChars="1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明确甲板货风险划分：如需装载甲板货，应在提单上明确记载并与托运人达成协议。发生货损时，应积极取证区分损失是否由“甲板装载的特殊风险”造成，以明确免责范围。</w:t>
      </w:r>
    </w:p>
    <w:p w14:paraId="6D13D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00B05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对法律与保险实务的示范作用：</w:t>
      </w:r>
    </w:p>
    <w:p w14:paraId="42088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案判决逻辑清晰，说理充分，为处理复杂海上货物运输货损索赔案件提供了范本。特别是其对损失计算方法的灵活适用、对混合损失的精细区分、以及对格式免责条款在事实无法区分时的公平裁量，对律师代理此类案件、保险公司进行理赔定损以及海事仲裁/诉讼均具有重要的参考价值。</w:t>
      </w:r>
    </w:p>
    <w:p w14:paraId="72A2C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9FB1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6D91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17E78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5213D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764CC4B6">
      <w:pPr>
        <w:spacing w:after="16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各类信息标签</w:t>
      </w:r>
    </w:p>
    <w:tbl>
      <w:tblPr>
        <w:tblStyle w:val="8"/>
        <w:tblW w:w="500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7363"/>
      </w:tblGrid>
      <w:tr w14:paraId="26907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86" w:type="pct"/>
            <w:noWrap w:val="0"/>
            <w:vAlign w:val="center"/>
          </w:tcPr>
          <w:p w14:paraId="574EECC1">
            <w:pPr>
              <w:spacing w:line="360" w:lineRule="auto"/>
              <w:jc w:val="center"/>
              <w:rPr>
                <w:rFonts w:hint="eastAsia" w:ascii="华文仿宋" w:hAnsi="华文仿宋" w:eastAsia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主要服务国家或地区</w:t>
            </w:r>
          </w:p>
        </w:tc>
        <w:tc>
          <w:tcPr>
            <w:tcW w:w="4313" w:type="pct"/>
            <w:noWrap w:val="0"/>
            <w:vAlign w:val="center"/>
          </w:tcPr>
          <w:p w14:paraId="355D21F2">
            <w:pPr>
              <w:spacing w:line="360" w:lineRule="auto"/>
              <w:rPr>
                <w:rFonts w:hint="eastAsia" w:ascii="华文仿宋" w:hAnsi="华文仿宋" w:eastAsia="华文仿宋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中国</w:t>
            </w:r>
            <w:bookmarkStart w:id="0" w:name="_GoBack"/>
            <w:bookmarkEnd w:id="0"/>
          </w:p>
        </w:tc>
      </w:tr>
      <w:tr w14:paraId="32FE5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686" w:type="pct"/>
            <w:noWrap w:val="0"/>
            <w:vAlign w:val="center"/>
          </w:tcPr>
          <w:p w14:paraId="35274D94">
            <w:pPr>
              <w:spacing w:before="156" w:beforeLines="50" w:after="156" w:afterLines="50" w:line="360" w:lineRule="exact"/>
              <w:jc w:val="center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ascii="华文仿宋" w:hAnsi="华文仿宋" w:eastAsia="华文仿宋"/>
                <w:szCs w:val="21"/>
              </w:rPr>
              <w:t>产品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专业</w:t>
            </w:r>
            <w:r>
              <w:rPr>
                <w:rFonts w:ascii="华文仿宋" w:hAnsi="华文仿宋" w:eastAsia="华文仿宋"/>
                <w:szCs w:val="21"/>
              </w:rPr>
              <w:t>类型</w:t>
            </w:r>
          </w:p>
        </w:tc>
        <w:tc>
          <w:tcPr>
            <w:tcW w:w="4313" w:type="pct"/>
            <w:noWrap w:val="0"/>
            <w:vAlign w:val="center"/>
          </w:tcPr>
          <w:p w14:paraId="3B80D089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□跨境诉讼</w:t>
            </w:r>
          </w:p>
          <w:p w14:paraId="2E395308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□国际商事调解和仲裁</w:t>
            </w:r>
          </w:p>
          <w:p w14:paraId="2061AC28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□跨境投资并购</w:t>
            </w:r>
          </w:p>
          <w:p w14:paraId="501A74D8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□国际证券资本市场</w:t>
            </w:r>
          </w:p>
          <w:p w14:paraId="1E8843B7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□国际贸易及海关</w:t>
            </w:r>
          </w:p>
          <w:p w14:paraId="560F092C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□国际税法</w:t>
            </w:r>
          </w:p>
          <w:p w14:paraId="5E9BDDD2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  <w:lang w:eastAsia="zh-CN"/>
              </w:rPr>
              <w:t>☑</w:t>
            </w:r>
            <w:r>
              <w:rPr>
                <w:rFonts w:hint="eastAsia" w:ascii="华文仿宋" w:hAnsi="华文仿宋" w:eastAsia="华文仿宋"/>
                <w:szCs w:val="21"/>
              </w:rPr>
              <w:t>海事海商、航运金融</w:t>
            </w:r>
          </w:p>
          <w:p w14:paraId="12330B96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□国际工程</w:t>
            </w:r>
          </w:p>
          <w:p w14:paraId="5612F811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□国际房地产开发</w:t>
            </w:r>
          </w:p>
          <w:p w14:paraId="25005FA1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□国际知识产权</w:t>
            </w:r>
          </w:p>
          <w:p w14:paraId="4B215429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□国际金融、保险业务</w:t>
            </w:r>
          </w:p>
          <w:p w14:paraId="58E6C0D8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□跨境数据合规业务</w:t>
            </w:r>
          </w:p>
          <w:p w14:paraId="0748AE1F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□国际矿业、能源业务</w:t>
            </w:r>
          </w:p>
          <w:p w14:paraId="2796C151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□国际ESG法律服务</w:t>
            </w:r>
          </w:p>
          <w:p w14:paraId="75EF11D0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□国际劳动用工</w:t>
            </w:r>
          </w:p>
          <w:p w14:paraId="1254BB0B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□反倾销和反补贴、WTO业务</w:t>
            </w:r>
          </w:p>
          <w:p w14:paraId="35D84619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□反垄断、反不正当竞争</w:t>
            </w:r>
          </w:p>
          <w:p w14:paraId="5CFB1CC0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  <w:lang w:eastAsia="zh-CN"/>
              </w:rPr>
              <w:t>□</w:t>
            </w:r>
            <w:r>
              <w:rPr>
                <w:rFonts w:hint="eastAsia" w:ascii="华文仿宋" w:hAnsi="华文仿宋" w:eastAsia="华文仿宋"/>
                <w:szCs w:val="21"/>
              </w:rPr>
              <w:t>进出口管制和经济制裁</w:t>
            </w:r>
          </w:p>
          <w:p w14:paraId="2D794185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□国家安全审查与地缘政治风险应对</w:t>
            </w:r>
          </w:p>
          <w:p w14:paraId="33EFFF25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□反腐败</w:t>
            </w:r>
          </w:p>
          <w:p w14:paraId="45E1BA9F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□反洗钱、反恐怖主义融资</w:t>
            </w:r>
          </w:p>
          <w:p w14:paraId="4E7D40AD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□跨境破产与债务重组</w:t>
            </w:r>
          </w:p>
          <w:p w14:paraId="139CE01F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□跨境家族信托与财富传承</w:t>
            </w:r>
          </w:p>
        </w:tc>
      </w:tr>
      <w:tr w14:paraId="6C3D9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686" w:type="pct"/>
            <w:noWrap w:val="0"/>
            <w:vAlign w:val="center"/>
          </w:tcPr>
          <w:p w14:paraId="6563AB22">
            <w:pPr>
              <w:spacing w:before="156" w:beforeLines="50" w:after="156" w:afterLines="50" w:line="360" w:lineRule="exact"/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ascii="华文仿宋" w:hAnsi="华文仿宋" w:eastAsia="华文仿宋"/>
                <w:szCs w:val="21"/>
              </w:rPr>
              <w:t>产品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对应行业</w:t>
            </w:r>
          </w:p>
        </w:tc>
        <w:tc>
          <w:tcPr>
            <w:tcW w:w="4313" w:type="pct"/>
            <w:noWrap w:val="0"/>
            <w:vAlign w:val="center"/>
          </w:tcPr>
          <w:p w14:paraId="660795D1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  <w:lang w:eastAsia="zh-CN"/>
              </w:rPr>
              <w:t>□</w:t>
            </w:r>
            <w:r>
              <w:rPr>
                <w:rFonts w:hint="eastAsia" w:ascii="华文仿宋" w:hAnsi="华文仿宋" w:eastAsia="华文仿宋"/>
                <w:szCs w:val="21"/>
              </w:rPr>
              <w:t>农林牧渔业</w:t>
            </w:r>
          </w:p>
          <w:p w14:paraId="58E29E81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□采矿业</w:t>
            </w:r>
          </w:p>
          <w:p w14:paraId="7F39AE79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□制造业</w:t>
            </w:r>
          </w:p>
          <w:p w14:paraId="16BD7EA8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□建筑业</w:t>
            </w:r>
          </w:p>
          <w:p w14:paraId="4E68556D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□批发零售业</w:t>
            </w:r>
          </w:p>
          <w:p w14:paraId="6721A094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  <w:lang w:eastAsia="zh-CN"/>
              </w:rPr>
              <w:t>☑</w:t>
            </w:r>
            <w:r>
              <w:rPr>
                <w:rFonts w:hint="eastAsia" w:ascii="华文仿宋" w:hAnsi="华文仿宋" w:eastAsia="华文仿宋"/>
                <w:szCs w:val="21"/>
              </w:rPr>
              <w:t>交通运输、仓储和物流服务业</w:t>
            </w:r>
          </w:p>
          <w:p w14:paraId="1130BCA0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□住宿和餐饮业</w:t>
            </w:r>
          </w:p>
          <w:p w14:paraId="1519BB8E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□信息传输、软件和信息技术服务业</w:t>
            </w:r>
          </w:p>
          <w:p w14:paraId="3278C13F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□金融业（含资本市场服务）</w:t>
            </w:r>
          </w:p>
          <w:p w14:paraId="66DC47BD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□房地产业</w:t>
            </w:r>
          </w:p>
          <w:p w14:paraId="669363CD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□租赁和商务服务业</w:t>
            </w:r>
          </w:p>
          <w:p w14:paraId="62C91A2D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□科学研究和技术服务业</w:t>
            </w:r>
          </w:p>
          <w:p w14:paraId="4AB1E3CF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□节能环保清洁产业（含清洁生产、清洁能源）</w:t>
            </w:r>
          </w:p>
          <w:p w14:paraId="71C72CE5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□医疗卫生与健康服务</w:t>
            </w:r>
          </w:p>
          <w:p w14:paraId="645704CB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□文化、体育和娱乐业</w:t>
            </w:r>
          </w:p>
          <w:p w14:paraId="0FB00E6D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□教育培训</w:t>
            </w:r>
          </w:p>
          <w:p w14:paraId="686789F7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□集成电路</w:t>
            </w:r>
          </w:p>
          <w:p w14:paraId="1A00673A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□生物医药（创新药物、高端医疗器械、生物技术服务等）</w:t>
            </w:r>
          </w:p>
          <w:p w14:paraId="1C4D339A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□人工智能（智能芯片、智能软件、自动驾驶、具身智能等）</w:t>
            </w:r>
          </w:p>
          <w:p w14:paraId="5D5797F1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电子信息</w:t>
            </w:r>
          </w:p>
          <w:p w14:paraId="4F827741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生命健康</w:t>
            </w:r>
          </w:p>
          <w:p w14:paraId="610E66C1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汽车</w:t>
            </w:r>
          </w:p>
          <w:p w14:paraId="44CBE36A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高端装备</w:t>
            </w:r>
          </w:p>
          <w:p w14:paraId="0F651B84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</w:t>
            </w:r>
            <w:r>
              <w:rPr>
                <w:rFonts w:hint="eastAsia" w:ascii="华文仿宋" w:hAnsi="华文仿宋" w:eastAsia="华文仿宋"/>
                <w:szCs w:val="21"/>
                <w:lang w:val="en-US" w:eastAsia="zh-CN"/>
              </w:rPr>
              <w:t>先进材料</w:t>
            </w:r>
          </w:p>
          <w:p w14:paraId="58F0D100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□时尚消费品</w:t>
            </w:r>
          </w:p>
          <w:p w14:paraId="47A3EE8A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□低空经济</w:t>
            </w:r>
          </w:p>
          <w:p w14:paraId="23B0EAEA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□未来产业（光子芯片与器件、基因与细胞技术、类脑智能、新型海洋经济、氢能与储能等）</w:t>
            </w:r>
          </w:p>
          <w:p w14:paraId="70FDF7F5">
            <w:pPr>
              <w:widowControl/>
              <w:autoSpaceDE w:val="0"/>
              <w:autoSpaceDN w:val="0"/>
              <w:snapToGrid w:val="0"/>
              <w:spacing w:line="340" w:lineRule="exact"/>
              <w:rPr>
                <w:rFonts w:hint="eastAsia"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□游戏和电竞</w:t>
            </w:r>
          </w:p>
        </w:tc>
      </w:tr>
    </w:tbl>
    <w:p w14:paraId="3005E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A498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595DC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页 共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595DCA">
                    <w:pPr>
                      <w:pStyle w:val="4"/>
                    </w:pPr>
                    <w:r>
                      <w:t xml:space="preserve">第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页 共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18DF46"/>
    <w:multiLevelType w:val="singleLevel"/>
    <w:tmpl w:val="F218DF4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4AAFAE5"/>
    <w:multiLevelType w:val="singleLevel"/>
    <w:tmpl w:val="74AAFAE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21E8E"/>
    <w:rsid w:val="0966137D"/>
    <w:rsid w:val="5ED21E8E"/>
    <w:rsid w:val="7C8C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3125</Words>
  <Characters>3235</Characters>
  <Lines>0</Lines>
  <Paragraphs>0</Paragraphs>
  <TotalTime>0</TotalTime>
  <ScaleCrop>false</ScaleCrop>
  <LinksUpToDate>false</LinksUpToDate>
  <CharactersWithSpaces>3252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2026-05-06T15:47:00Z</dcterms:created>
  <dc:creator>z</dc:creator>
  <cp:lastModifiedBy>z</cp:lastModifiedBy>
  <dcterms:modified xsi:type="dcterms:W3CDTF">2026-05-29T02:39:58Z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9C9CA70CB12349A7B9BAB44F8EA1A879_11</vt:lpwstr>
  </property>
  <property fmtid="{D5CDD505-2E9C-101B-9397-08002B2CF9AE}" pid="4" name="KSOTemplateDocerSaveRecord">
    <vt:lpwstr>eyJoZGlkIjoiMzEwNTM5NzYwMDRjMzkwZTVkZjY2ODkwMGIxNGU0OTUiLCJ1c2VySWQiOiIzMDQ5NDk2NzYifQ==</vt:lpwstr>
  </property>
  <property fmtid="{D5CDD505-2E9C-101B-9397-08002B2CF9AE}" pid="5" name="CWMcb9c0860810b11f1800041aa000041aa">
    <vt:lpwstr>CWMp5Z+uKPj70sPWmB54OfyFUZd4zBN3SySR2nGawFvkqFMh6jDhIR9ys+Wxh9hoOqCFSEyaipguuFSN8uDKH0S7w==</vt:lpwstr>
  </property>
  <property fmtid="{D5CDD505-2E9C-101B-9397-08002B2CF9AE}" pid="6" name="fileWhereFroms">
    <vt:lpwstr>PpjeLB1gRN0lwrPqMaCTkouyfh4PKi+Bva0+Fd/OT6GZkJvUKbOn5wEK7u6LzonF08gdphIo0ygNyViV5C0LTlNzRxPAMG5xPZu7uC7bv0uL1Kex5PfDuKQOg5o6epURLaTi0LjsmSIJaFWi9SmBj4BXPt/KUhOY4m5mv1+wFS/WQT5dAwbNsvvFcRmZ1+E9bxVCuTHedtfAlWHpHh6zsU/7YyfdpTFxzKfC6fats9RhmuYDr5NH8EL5iEjk0A8DdeNKsIMgyuefMBeA+jyqHg==</vt:lpwstr>
  </property>
</Properties>
</file>