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83BED">
      <w:pPr>
        <w:pStyle w:val="15"/>
        <w:rPr>
          <w:rFonts w:hint="eastAsia" w:ascii="仿宋" w:hAnsi="仿宋" w:eastAsia="仿宋" w:cs="仿宋"/>
          <w:color w:val="000000" w:themeColor="text1"/>
          <w:sz w:val="44"/>
          <w:szCs w:val="44"/>
          <w14:textFill>
            <w14:solidFill>
              <w14:schemeClr w14:val="tx1"/>
            </w14:solidFill>
          </w14:textFill>
        </w:rPr>
      </w:pPr>
      <w:r>
        <w:rPr>
          <w:rFonts w:hint="eastAsia" w:ascii="仿宋" w:hAnsi="仿宋" w:eastAsia="仿宋" w:cs="仿宋"/>
          <w:color w:val="000000" w:themeColor="text1"/>
          <w:sz w:val="44"/>
          <w:szCs w:val="44"/>
          <w14:textFill>
            <w14:solidFill>
              <w14:schemeClr w14:val="tx1"/>
            </w14:solidFill>
          </w14:textFill>
        </w:rPr>
        <w:t>涉外著作权</w:t>
      </w:r>
      <w:r>
        <w:rPr>
          <w:rFonts w:hint="eastAsia" w:ascii="仿宋" w:hAnsi="仿宋" w:eastAsia="仿宋" w:cs="仿宋"/>
          <w:color w:val="000000" w:themeColor="text1"/>
          <w:sz w:val="44"/>
          <w:szCs w:val="44"/>
          <w:lang w:val="en-US" w:eastAsia="zh-CN"/>
          <w14:textFill>
            <w14:solidFill>
              <w14:schemeClr w14:val="tx1"/>
            </w14:solidFill>
          </w14:textFill>
        </w:rPr>
        <w:t>中国</w:t>
      </w:r>
      <w:r>
        <w:rPr>
          <w:rFonts w:hint="eastAsia" w:ascii="仿宋" w:hAnsi="仿宋" w:eastAsia="仿宋" w:cs="仿宋"/>
          <w:color w:val="000000" w:themeColor="text1"/>
          <w:sz w:val="44"/>
          <w:szCs w:val="44"/>
          <w14:textFill>
            <w14:solidFill>
              <w14:schemeClr w14:val="tx1"/>
            </w14:solidFill>
          </w14:textFill>
        </w:rPr>
        <w:t>维权实务指南</w:t>
      </w:r>
    </w:p>
    <w:p w14:paraId="11D7DAEA">
      <w:pPr>
        <w:pStyle w:val="4"/>
        <w:jc w:val="center"/>
        <w:rPr>
          <w:rFonts w:hint="eastAsia" w:ascii="仿宋" w:hAnsi="仿宋" w:eastAsia="仿宋" w:cs="仿宋"/>
          <w:color w:val="000000" w:themeColor="text1"/>
          <w:sz w:val="24"/>
          <w:szCs w:val="24"/>
          <w:lang w:val="en-US" w:eastAsia="zh-CN"/>
          <w14:textFill>
            <w14:solidFill>
              <w14:schemeClr w14:val="tx1"/>
            </w14:solidFill>
          </w14:textFill>
        </w:rPr>
      </w:pPr>
      <w:bookmarkStart w:id="0" w:name="一涉外著作权侵权认定的法律标准与保护前提"/>
      <w:bookmarkStart w:id="1" w:name="MissionReportScrollContainer"/>
      <w:bookmarkStart w:id="2" w:name="MissionReportContainer"/>
      <w:bookmarkStart w:id="3" w:name="root"/>
      <w:r>
        <w:rPr>
          <w:rFonts w:hint="eastAsia" w:ascii="仿宋" w:hAnsi="仿宋" w:eastAsia="仿宋" w:cs="仿宋"/>
          <w:color w:val="000000" w:themeColor="text1"/>
          <w:sz w:val="24"/>
          <w:szCs w:val="24"/>
          <w:lang w:val="en-US" w:eastAsia="zh-CN"/>
          <w14:textFill>
            <w14:solidFill>
              <w14:schemeClr w14:val="tx1"/>
            </w14:solidFill>
          </w14:textFill>
        </w:rPr>
        <w:t>上海沪通律师事务所  王晶律师</w:t>
      </w:r>
      <w:bookmarkStart w:id="29" w:name="_GoBack"/>
      <w:bookmarkEnd w:id="29"/>
    </w:p>
    <w:p w14:paraId="20E4F51A">
      <w:pPr>
        <w:pStyle w:val="4"/>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一、涉外著作权侵权认定的法律标准与保护前提</w:t>
      </w:r>
    </w:p>
    <w:p w14:paraId="08E57218">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在您决定于中国启动任何维权行动之前，首要且核心的任务是确认您的作品是否于中国享有著作权保护，以及在中国法律框架下，何种行为会被认定为侵权。本章将系统阐述这两大基础问题。</w:t>
      </w:r>
    </w:p>
    <w:p w14:paraId="2810DC0E">
      <w:pPr>
        <w:pStyle w:val="5"/>
        <w:rPr>
          <w:rFonts w:hint="eastAsia" w:ascii="仿宋" w:hAnsi="仿宋" w:eastAsia="仿宋" w:cs="仿宋"/>
          <w:color w:val="000000" w:themeColor="text1"/>
          <w:sz w:val="24"/>
          <w:szCs w:val="24"/>
          <w14:textFill>
            <w14:solidFill>
              <w14:schemeClr w14:val="tx1"/>
            </w14:solidFill>
          </w14:textFill>
        </w:rPr>
      </w:pPr>
      <w:bookmarkStart w:id="4" w:name="外国作品在中国获得著作权保护的前提"/>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外国作品在中国获得著作权保护的前提</w:t>
      </w:r>
    </w:p>
    <w:p w14:paraId="321464EB">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根据中国《著作权法》及相关国际条约，您的作品要在中国自动获得著作权保护，</w:t>
      </w:r>
      <w:r>
        <w:rPr>
          <w:rFonts w:hint="eastAsia" w:ascii="仿宋" w:hAnsi="仿宋" w:eastAsia="仿宋" w:cs="仿宋"/>
          <w:b/>
          <w:bCs/>
          <w:color w:val="000000" w:themeColor="text1"/>
          <w:sz w:val="24"/>
          <w:szCs w:val="24"/>
          <w14:textFill>
            <w14:solidFill>
              <w14:schemeClr w14:val="tx1"/>
            </w14:solidFill>
          </w14:textFill>
        </w:rPr>
        <w:t>必须满足以下至少一项连接点条件</w:t>
      </w:r>
      <w:r>
        <w:rPr>
          <w:rFonts w:hint="eastAsia" w:ascii="仿宋" w:hAnsi="仿宋" w:eastAsia="仿宋" w:cs="仿宋"/>
          <w:color w:val="000000" w:themeColor="text1"/>
          <w:sz w:val="24"/>
          <w:szCs w:val="24"/>
          <w14:textFill>
            <w14:solidFill>
              <w14:schemeClr w14:val="tx1"/>
            </w14:solidFill>
          </w14:textFill>
        </w:rPr>
        <w:t>：</w:t>
      </w:r>
    </w:p>
    <w:tbl>
      <w:tblPr>
        <w:tblStyle w:val="43"/>
        <w:tblW w:w="5000" w:type="pct"/>
        <w:tblInd w:w="0" w:type="dxa"/>
        <w:tblLayout w:type="fixed"/>
        <w:tblCellMar>
          <w:top w:w="0" w:type="dxa"/>
          <w:left w:w="108" w:type="dxa"/>
          <w:bottom w:w="0" w:type="dxa"/>
          <w:right w:w="108" w:type="dxa"/>
        </w:tblCellMar>
      </w:tblPr>
      <w:tblGrid>
        <w:gridCol w:w="2952"/>
        <w:gridCol w:w="2952"/>
        <w:gridCol w:w="2952"/>
      </w:tblGrid>
      <w:tr w14:paraId="2E2A767F">
        <w:tblPrEx>
          <w:tblCellMar>
            <w:top w:w="0" w:type="dxa"/>
            <w:left w:w="108" w:type="dxa"/>
            <w:bottom w:w="0" w:type="dxa"/>
            <w:right w:w="108" w:type="dxa"/>
          </w:tblCellMar>
        </w:tblPrEx>
        <w:trPr>
          <w:tblHeader/>
        </w:trPr>
        <w:tc>
          <w:p w14:paraId="39B8D256">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前提条件类别</w:t>
            </w:r>
          </w:p>
        </w:tc>
        <w:tc>
          <w:p w14:paraId="5324B4E3">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具体适用情形</w:t>
            </w:r>
          </w:p>
        </w:tc>
        <w:tc>
          <w:p w14:paraId="4760DC6C">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核心法律依据</w:t>
            </w:r>
          </w:p>
        </w:tc>
      </w:tr>
      <w:tr w14:paraId="3287C9C5">
        <w:tblPrEx>
          <w:tblCellMar>
            <w:top w:w="0" w:type="dxa"/>
            <w:left w:w="108" w:type="dxa"/>
            <w:bottom w:w="0" w:type="dxa"/>
            <w:right w:w="108" w:type="dxa"/>
          </w:tblCellMar>
        </w:tblPrEx>
        <w:tc>
          <w:p w14:paraId="48D708A9">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基于作者国籍或经常居住地</w:t>
            </w:r>
          </w:p>
        </w:tc>
        <w:tc>
          <w:p w14:paraId="248C3742">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您的作者所属国或经常居住地国，与中国共同参加了国际著作权条约（如《伯尔尼公约》）或签订了双边协议。</w:t>
            </w:r>
          </w:p>
        </w:tc>
        <w:tc>
          <w:p w14:paraId="090C6339">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《著作权法》第二条第(二)款</w:t>
            </w:r>
          </w:p>
        </w:tc>
      </w:tr>
      <w:tr w14:paraId="231086E1">
        <w:tblPrEx>
          <w:tblCellMar>
            <w:top w:w="0" w:type="dxa"/>
            <w:left w:w="108" w:type="dxa"/>
            <w:bottom w:w="0" w:type="dxa"/>
            <w:right w:w="108" w:type="dxa"/>
          </w:tblCellMar>
        </w:tblPrEx>
        <w:tc>
          <w:p w14:paraId="72A9364E">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基于作品首次出版地</w:t>
            </w:r>
          </w:p>
        </w:tc>
        <w:tc>
          <w:p w14:paraId="47995F85">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a. </w:t>
            </w:r>
            <w:r>
              <w:rPr>
                <w:rFonts w:hint="eastAsia" w:ascii="仿宋" w:hAnsi="仿宋" w:eastAsia="仿宋" w:cs="仿宋"/>
                <w:color w:val="000000" w:themeColor="text1"/>
                <w:sz w:val="24"/>
                <w:szCs w:val="24"/>
                <w14:textFill>
                  <w14:solidFill>
                    <w14:schemeClr w14:val="tx1"/>
                  </w14:solidFill>
                </w14:textFill>
              </w:rPr>
              <w:t>您的作品</w:t>
            </w:r>
            <w:r>
              <w:rPr>
                <w:rFonts w:hint="eastAsia" w:ascii="仿宋" w:hAnsi="仿宋" w:eastAsia="仿宋" w:cs="仿宋"/>
                <w:b/>
                <w:bCs/>
                <w:color w:val="000000" w:themeColor="text1"/>
                <w:sz w:val="24"/>
                <w:szCs w:val="24"/>
                <w14:textFill>
                  <w14:solidFill>
                    <w14:schemeClr w14:val="tx1"/>
                  </w14:solidFill>
                </w14:textFill>
              </w:rPr>
              <w:t>首先在中国境内出版</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b. </w:t>
            </w:r>
            <w:r>
              <w:rPr>
                <w:rFonts w:hint="eastAsia" w:ascii="仿宋" w:hAnsi="仿宋" w:eastAsia="仿宋" w:cs="仿宋"/>
                <w:color w:val="000000" w:themeColor="text1"/>
                <w:sz w:val="24"/>
                <w:szCs w:val="24"/>
                <w14:textFill>
                  <w14:solidFill>
                    <w14:schemeClr w14:val="tx1"/>
                  </w14:solidFill>
                </w14:textFill>
              </w:rPr>
              <w:t>若您的所属国未与中国签约或共同参加条约，您的作品</w:t>
            </w:r>
            <w:r>
              <w:rPr>
                <w:rFonts w:hint="eastAsia" w:ascii="仿宋" w:hAnsi="仿宋" w:eastAsia="仿宋" w:cs="仿宋"/>
                <w:b/>
                <w:bCs/>
                <w:color w:val="000000" w:themeColor="text1"/>
                <w:sz w:val="24"/>
                <w:szCs w:val="24"/>
                <w14:textFill>
                  <w14:solidFill>
                    <w14:schemeClr w14:val="tx1"/>
                  </w14:solidFill>
                </w14:textFill>
              </w:rPr>
              <w:t>首次在中国参加的国际条约的成员国出版</w:t>
            </w:r>
            <w:r>
              <w:rPr>
                <w:rFonts w:hint="eastAsia" w:ascii="仿宋" w:hAnsi="仿宋" w:eastAsia="仿宋" w:cs="仿宋"/>
                <w:color w:val="000000" w:themeColor="text1"/>
                <w:sz w:val="24"/>
                <w:szCs w:val="24"/>
                <w14:textFill>
                  <w14:solidFill>
                    <w14:schemeClr w14:val="tx1"/>
                  </w14:solidFill>
                </w14:textFill>
              </w:rPr>
              <w:t>，或在成员国和非成员国</w:t>
            </w:r>
            <w:r>
              <w:rPr>
                <w:rFonts w:hint="eastAsia" w:ascii="仿宋" w:hAnsi="仿宋" w:eastAsia="仿宋" w:cs="仿宋"/>
                <w:b/>
                <w:bCs/>
                <w:color w:val="000000" w:themeColor="text1"/>
                <w:sz w:val="24"/>
                <w:szCs w:val="24"/>
                <w14:textFill>
                  <w14:solidFill>
                    <w14:schemeClr w14:val="tx1"/>
                  </w14:solidFill>
                </w14:textFill>
              </w:rPr>
              <w:t>同时出版</w:t>
            </w:r>
            <w:r>
              <w:rPr>
                <w:rFonts w:hint="eastAsia" w:ascii="仿宋" w:hAnsi="仿宋" w:eastAsia="仿宋" w:cs="仿宋"/>
                <w:color w:val="000000" w:themeColor="text1"/>
                <w:sz w:val="24"/>
                <w:szCs w:val="24"/>
                <w14:textFill>
                  <w14:solidFill>
                    <w14:schemeClr w14:val="tx1"/>
                  </w14:solidFill>
                </w14:textFill>
              </w:rPr>
              <w:t>（“同时出版”指境外首版后30日内在中国出版）。</w:t>
            </w:r>
          </w:p>
        </w:tc>
        <w:tc>
          <w:p w14:paraId="24283B3F">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《著作权法》第二条第(三)、(四)款；</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《著作权法实施条例》第八条</w:t>
            </w:r>
          </w:p>
        </w:tc>
      </w:tr>
    </w:tbl>
    <w:p w14:paraId="56F2D8F0">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实践中的最普遍路径</w:t>
      </w:r>
      <w:r>
        <w:rPr>
          <w:rFonts w:hint="eastAsia" w:ascii="仿宋" w:hAnsi="仿宋" w:eastAsia="仿宋" w:cs="仿宋"/>
          <w:color w:val="000000" w:themeColor="text1"/>
          <w:sz w:val="24"/>
          <w:szCs w:val="24"/>
          <w14:textFill>
            <w14:solidFill>
              <w14:schemeClr w14:val="tx1"/>
            </w14:solidFill>
          </w14:textFill>
        </w:rPr>
        <w:t>：绝大多数外国权利人的作品通过第一条路径——即</w:t>
      </w:r>
      <w:r>
        <w:rPr>
          <w:rFonts w:hint="eastAsia" w:ascii="仿宋" w:hAnsi="仿宋" w:eastAsia="仿宋" w:cs="仿宋"/>
          <w:b/>
          <w:bCs/>
          <w:color w:val="000000" w:themeColor="text1"/>
          <w:sz w:val="24"/>
          <w:szCs w:val="24"/>
          <w14:textFill>
            <w14:solidFill>
              <w14:schemeClr w14:val="tx1"/>
            </w14:solidFill>
          </w14:textFill>
        </w:rPr>
        <w:t>基于《伯尔尼公约》的“国民待遇”原则</w:t>
      </w:r>
      <w:r>
        <w:rPr>
          <w:rFonts w:hint="eastAsia" w:ascii="仿宋" w:hAnsi="仿宋" w:eastAsia="仿宋" w:cs="仿宋"/>
          <w:color w:val="000000" w:themeColor="text1"/>
          <w:sz w:val="24"/>
          <w:szCs w:val="24"/>
          <w14:textFill>
            <w14:solidFill>
              <w14:schemeClr w14:val="tx1"/>
            </w14:solidFill>
          </w14:textFill>
        </w:rPr>
        <w:t>——在中国获得保护。只要您所属国（如美国、欧盟成员国、日本、韩国等）与中国同为《伯尔尼公约》成员国，您的作品自创作完成之日起，即在中国自动享有著作权，无需在中国进行任何登记或履行其他手续。</w:t>
      </w:r>
    </w:p>
    <w:p w14:paraId="713D476B">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重要提示</w:t>
      </w:r>
      <w:r>
        <w:rPr>
          <w:rFonts w:hint="eastAsia" w:ascii="仿宋" w:hAnsi="仿宋" w:eastAsia="仿宋" w:cs="仿宋"/>
          <w:color w:val="000000" w:themeColor="text1"/>
          <w:sz w:val="24"/>
          <w:szCs w:val="24"/>
          <w14:textFill>
            <w14:solidFill>
              <w14:schemeClr w14:val="tx1"/>
            </w14:solidFill>
          </w14:textFill>
        </w:rPr>
        <w:t>：即便您的作品（如某些境外影视作品）未通过中国的行政审批程序，因而未获准在中国境内发行，这</w:t>
      </w:r>
      <w:r>
        <w:rPr>
          <w:rFonts w:hint="eastAsia" w:ascii="仿宋" w:hAnsi="仿宋" w:eastAsia="仿宋" w:cs="仿宋"/>
          <w:b/>
          <w:bCs/>
          <w:color w:val="000000" w:themeColor="text1"/>
          <w:sz w:val="24"/>
          <w:szCs w:val="24"/>
          <w14:textFill>
            <w14:solidFill>
              <w14:schemeClr w14:val="tx1"/>
            </w14:solidFill>
          </w14:textFill>
        </w:rPr>
        <w:t>并不影响</w:t>
      </w:r>
      <w:r>
        <w:rPr>
          <w:rFonts w:hint="eastAsia" w:ascii="仿宋" w:hAnsi="仿宋" w:eastAsia="仿宋" w:cs="仿宋"/>
          <w:color w:val="000000" w:themeColor="text1"/>
          <w:sz w:val="24"/>
          <w:szCs w:val="24"/>
          <w14:textFill>
            <w14:solidFill>
              <w14:schemeClr w14:val="tx1"/>
            </w14:solidFill>
          </w14:textFill>
        </w:rPr>
        <w:t>您作为作者享有的著作权。在侵权诉讼中，您仍有权主张停止传播和赔偿损失。</w:t>
      </w:r>
    </w:p>
    <w:bookmarkEnd w:id="4"/>
    <w:p w14:paraId="35F4C52C">
      <w:pPr>
        <w:pStyle w:val="5"/>
        <w:rPr>
          <w:rFonts w:hint="eastAsia" w:ascii="仿宋" w:hAnsi="仿宋" w:eastAsia="仿宋" w:cs="仿宋"/>
          <w:color w:val="000000" w:themeColor="text1"/>
          <w:sz w:val="24"/>
          <w:szCs w:val="24"/>
          <w14:textFill>
            <w14:solidFill>
              <w14:schemeClr w14:val="tx1"/>
            </w14:solidFill>
          </w14:textFill>
        </w:rPr>
      </w:pPr>
      <w:bookmarkStart w:id="5" w:name="涉外著作权侵权认定的法律标准体系"/>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二）</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涉外著作权侵权认定的法律标准体系</w:t>
      </w:r>
    </w:p>
    <w:p w14:paraId="2A458409">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当您的作品满足上述保护前提后，在中国认定侵权行为需遵循一套明确的法律标准体系，该体系由法律适用规则和实体判断标准构成。</w:t>
      </w:r>
    </w:p>
    <w:p w14:paraId="2F016831">
      <w:pPr>
        <w:pStyle w:val="6"/>
        <w:rPr>
          <w:rFonts w:hint="eastAsia" w:ascii="仿宋" w:hAnsi="仿宋" w:eastAsia="仿宋" w:cs="仿宋"/>
          <w:color w:val="000000" w:themeColor="text1"/>
          <w:sz w:val="24"/>
          <w:szCs w:val="24"/>
          <w14:textFill>
            <w14:solidFill>
              <w14:schemeClr w14:val="tx1"/>
            </w14:solidFill>
          </w14:textFill>
        </w:rPr>
      </w:pPr>
      <w:bookmarkStart w:id="6" w:name="法律适用的基本原则为何最终适用中国法"/>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14:textFill>
            <w14:solidFill>
              <w14:schemeClr w14:val="tx1"/>
            </w14:solidFill>
          </w14:textFill>
        </w:rPr>
        <w:t>法律适用的基本原则：为何最终适用中国法？</w:t>
      </w:r>
    </w:p>
    <w:p w14:paraId="2B247B68">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涉外著作权侵权案件首先需确定审理应适用的法律（准据法）。中国的冲突规范对此有清晰规定：</w:t>
      </w:r>
    </w:p>
    <w:p w14:paraId="4420B186">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权利归属与内容</w:t>
      </w:r>
      <w:r>
        <w:rPr>
          <w:rFonts w:hint="eastAsia" w:ascii="仿宋" w:hAnsi="仿宋" w:eastAsia="仿宋" w:cs="仿宋"/>
          <w:color w:val="000000" w:themeColor="text1"/>
          <w:sz w:val="24"/>
          <w:szCs w:val="24"/>
          <w14:textFill>
            <w14:solidFill>
              <w14:schemeClr w14:val="tx1"/>
            </w14:solidFill>
          </w14:textFill>
        </w:rPr>
        <w:t>：适用</w:t>
      </w:r>
      <w:r>
        <w:rPr>
          <w:rFonts w:hint="eastAsia" w:ascii="仿宋" w:hAnsi="仿宋" w:eastAsia="仿宋" w:cs="仿宋"/>
          <w:b/>
          <w:bCs/>
          <w:color w:val="000000" w:themeColor="text1"/>
          <w:sz w:val="24"/>
          <w:szCs w:val="24"/>
          <w14:textFill>
            <w14:solidFill>
              <w14:schemeClr w14:val="tx1"/>
            </w14:solidFill>
          </w14:textFill>
        </w:rPr>
        <w:t>被请求保护地法律</w:t>
      </w:r>
      <w:r>
        <w:rPr>
          <w:rFonts w:hint="eastAsia" w:ascii="仿宋" w:hAnsi="仿宋" w:eastAsia="仿宋" w:cs="仿宋"/>
          <w:color w:val="000000" w:themeColor="text1"/>
          <w:sz w:val="24"/>
          <w:szCs w:val="24"/>
          <w14:textFill>
            <w14:solidFill>
              <w14:schemeClr w14:val="tx1"/>
            </w14:solidFill>
          </w14:textFill>
        </w:rPr>
        <w:t>，即您寻求保护的国家——中国——的法律。</w:t>
      </w:r>
    </w:p>
    <w:p w14:paraId="2FA3F9E3">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侵权责任认定</w:t>
      </w:r>
      <w:r>
        <w:rPr>
          <w:rFonts w:hint="eastAsia" w:ascii="仿宋" w:hAnsi="仿宋" w:eastAsia="仿宋" w:cs="仿宋"/>
          <w:color w:val="000000" w:themeColor="text1"/>
          <w:sz w:val="24"/>
          <w:szCs w:val="24"/>
          <w14:textFill>
            <w14:solidFill>
              <w14:schemeClr w14:val="tx1"/>
            </w14:solidFill>
          </w14:textFill>
        </w:rPr>
        <w:t>：原则上同样适用</w:t>
      </w:r>
      <w:r>
        <w:rPr>
          <w:rFonts w:hint="eastAsia" w:ascii="仿宋" w:hAnsi="仿宋" w:eastAsia="仿宋" w:cs="仿宋"/>
          <w:b/>
          <w:bCs/>
          <w:color w:val="000000" w:themeColor="text1"/>
          <w:sz w:val="24"/>
          <w:szCs w:val="24"/>
          <w14:textFill>
            <w14:solidFill>
              <w14:schemeClr w14:val="tx1"/>
            </w14:solidFill>
          </w14:textFill>
        </w:rPr>
        <w:t>被请求保护地法律</w:t>
      </w:r>
      <w:r>
        <w:rPr>
          <w:rFonts w:hint="eastAsia" w:ascii="仿宋" w:hAnsi="仿宋" w:eastAsia="仿宋" w:cs="仿宋"/>
          <w:color w:val="000000" w:themeColor="text1"/>
          <w:sz w:val="24"/>
          <w:szCs w:val="24"/>
          <w14:textFill>
            <w14:solidFill>
              <w14:schemeClr w14:val="tx1"/>
            </w14:solidFill>
          </w14:textFill>
        </w:rPr>
        <w:t>（中国法）。但法律允许您在侵权行为发生后，与对方协议选择适用</w:t>
      </w:r>
      <w:r>
        <w:rPr>
          <w:rFonts w:hint="eastAsia" w:ascii="仿宋" w:hAnsi="仿宋" w:eastAsia="仿宋" w:cs="仿宋"/>
          <w:b/>
          <w:bCs/>
          <w:color w:val="000000" w:themeColor="text1"/>
          <w:sz w:val="24"/>
          <w:szCs w:val="24"/>
          <w14:textFill>
            <w14:solidFill>
              <w14:schemeClr w14:val="tx1"/>
            </w14:solidFill>
          </w14:textFill>
        </w:rPr>
        <w:t>法院地法律</w:t>
      </w:r>
      <w:r>
        <w:rPr>
          <w:rFonts w:hint="eastAsia" w:ascii="仿宋" w:hAnsi="仿宋" w:eastAsia="仿宋" w:cs="仿宋"/>
          <w:color w:val="000000" w:themeColor="text1"/>
          <w:sz w:val="24"/>
          <w:szCs w:val="24"/>
          <w14:textFill>
            <w14:solidFill>
              <w14:schemeClr w14:val="tx1"/>
            </w14:solidFill>
          </w14:textFill>
        </w:rPr>
        <w:t>（通常也是中国法）。</w:t>
      </w:r>
    </w:p>
    <w:p w14:paraId="0D7F0AFD">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实践中的简化操作</w:t>
      </w:r>
      <w:r>
        <w:rPr>
          <w:rFonts w:hint="eastAsia" w:ascii="仿宋" w:hAnsi="仿宋" w:eastAsia="仿宋" w:cs="仿宋"/>
          <w:color w:val="000000" w:themeColor="text1"/>
          <w:sz w:val="24"/>
          <w:szCs w:val="24"/>
          <w14:textFill>
            <w14:solidFill>
              <w14:schemeClr w14:val="tx1"/>
            </w14:solidFill>
          </w14:textFill>
        </w:rPr>
        <w:t>：在绝大多数司法案例中，尽管案件具有涉外因素，但诉讼各方（包括原告和被告）在法庭上均援引《中华人民共和国著作权法》进行陈述和辩论。中国法院将这一行为视为各方</w:t>
      </w:r>
      <w:r>
        <w:rPr>
          <w:rFonts w:hint="eastAsia" w:ascii="仿宋" w:hAnsi="仿宋" w:eastAsia="仿宋" w:cs="仿宋"/>
          <w:b/>
          <w:bCs/>
          <w:color w:val="000000" w:themeColor="text1"/>
          <w:sz w:val="24"/>
          <w:szCs w:val="24"/>
          <w14:textFill>
            <w14:solidFill>
              <w14:schemeClr w14:val="tx1"/>
            </w14:solidFill>
          </w14:textFill>
        </w:rPr>
        <w:t>已默示同意选择适用中国法律</w:t>
      </w:r>
      <w:r>
        <w:rPr>
          <w:rFonts w:hint="eastAsia" w:ascii="仿宋" w:hAnsi="仿宋" w:eastAsia="仿宋" w:cs="仿宋"/>
          <w:color w:val="000000" w:themeColor="text1"/>
          <w:sz w:val="24"/>
          <w:szCs w:val="24"/>
          <w14:textFill>
            <w14:solidFill>
              <w14:schemeClr w14:val="tx1"/>
            </w14:solidFill>
          </w14:textFill>
        </w:rPr>
        <w:t>，从而直接依据中国实体法进行审理。这是当前司法实践的普遍做法。</w:t>
      </w:r>
    </w:p>
    <w:bookmarkEnd w:id="6"/>
    <w:p w14:paraId="2078D536">
      <w:pPr>
        <w:pStyle w:val="6"/>
        <w:rPr>
          <w:rFonts w:hint="eastAsia" w:ascii="仿宋" w:hAnsi="仿宋" w:eastAsia="仿宋" w:cs="仿宋"/>
          <w:color w:val="000000" w:themeColor="text1"/>
          <w:sz w:val="24"/>
          <w:szCs w:val="24"/>
          <w14:textFill>
            <w14:solidFill>
              <w14:schemeClr w14:val="tx1"/>
            </w14:solidFill>
          </w14:textFill>
        </w:rPr>
      </w:pPr>
      <w:bookmarkStart w:id="7" w:name="实体法上的核心侵权判断标准接触-实质性相似"/>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color w:val="000000" w:themeColor="text1"/>
          <w:sz w:val="24"/>
          <w:szCs w:val="24"/>
          <w14:textFill>
            <w14:solidFill>
              <w14:schemeClr w14:val="tx1"/>
            </w14:solidFill>
          </w14:textFill>
        </w:rPr>
        <w:t>实体法上的核心侵权判断标准：“接触</w:t>
      </w:r>
      <w:r>
        <w:rPr>
          <w:rFonts w:hint="eastAsia" w:ascii="仿宋" w:hAnsi="仿宋" w:eastAsia="仿宋" w:cs="仿宋"/>
          <w:color w:val="000000" w:themeColor="text1"/>
          <w:sz w:val="24"/>
          <w:szCs w:val="24"/>
          <w14:textFill>
            <w14:solidFill>
              <w14:schemeClr w14:val="tx1"/>
            </w14:solidFill>
          </w14:textFill>
        </w:rPr>
        <w:t xml:space="preserve"> + </w:t>
      </w:r>
      <w:r>
        <w:rPr>
          <w:rFonts w:hint="eastAsia" w:ascii="仿宋" w:hAnsi="仿宋" w:eastAsia="仿宋" w:cs="仿宋"/>
          <w:color w:val="000000" w:themeColor="text1"/>
          <w:sz w:val="24"/>
          <w:szCs w:val="24"/>
          <w14:textFill>
            <w14:solidFill>
              <w14:schemeClr w14:val="tx1"/>
            </w14:solidFill>
          </w14:textFill>
        </w:rPr>
        <w:t>实质性相似”</w:t>
      </w:r>
    </w:p>
    <w:p w14:paraId="6FB56330">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在确定适用中国《著作权法》后，法院认定是否构成著作权侵权的</w:t>
      </w:r>
      <w:r>
        <w:rPr>
          <w:rFonts w:hint="eastAsia" w:ascii="仿宋" w:hAnsi="仿宋" w:eastAsia="仿宋" w:cs="仿宋"/>
          <w:b/>
          <w:bCs/>
          <w:color w:val="000000" w:themeColor="text1"/>
          <w:sz w:val="24"/>
          <w:szCs w:val="24"/>
          <w14:textFill>
            <w14:solidFill>
              <w14:schemeClr w14:val="tx1"/>
            </w14:solidFill>
          </w14:textFill>
        </w:rPr>
        <w:t>核心实体标准</w:t>
      </w:r>
      <w:r>
        <w:rPr>
          <w:rFonts w:hint="eastAsia" w:ascii="仿宋" w:hAnsi="仿宋" w:eastAsia="仿宋" w:cs="仿宋"/>
          <w:color w:val="000000" w:themeColor="text1"/>
          <w:sz w:val="24"/>
          <w:szCs w:val="24"/>
          <w14:textFill>
            <w14:solidFill>
              <w14:schemeClr w14:val="tx1"/>
            </w14:solidFill>
          </w14:textFill>
        </w:rPr>
        <w:t>是</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“接触”与“实质性相似”</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两项规则的结合。</w:t>
      </w:r>
    </w:p>
    <w:p w14:paraId="30F5700E">
      <w:pPr>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“接触”可能性</w:t>
      </w:r>
      <w:r>
        <w:rPr>
          <w:rFonts w:hint="eastAsia" w:ascii="仿宋" w:hAnsi="仿宋" w:eastAsia="仿宋" w:cs="仿宋"/>
          <w:color w:val="000000" w:themeColor="text1"/>
          <w:sz w:val="24"/>
          <w:szCs w:val="24"/>
          <w14:textFill>
            <w14:solidFill>
              <w14:schemeClr w14:val="tx1"/>
            </w14:solidFill>
          </w14:textFill>
        </w:rPr>
        <w:t>：判断侵权方是否有机会接触到您的作品。若您的作品已公开发表，通常即推定存在接触可能。即使未发表，若双方存在业务往来、投稿等关联，或侵权表达与您的作品高度相似以至于排除独立创作巧合的，法院也可能推定存在接触。</w:t>
      </w:r>
    </w:p>
    <w:p w14:paraId="683456F0">
      <w:pPr>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“实质性相似”</w:t>
      </w:r>
      <w:r>
        <w:rPr>
          <w:rFonts w:hint="eastAsia" w:ascii="仿宋" w:hAnsi="仿宋" w:eastAsia="仿宋" w:cs="仿宋"/>
          <w:color w:val="000000" w:themeColor="text1"/>
          <w:sz w:val="24"/>
          <w:szCs w:val="24"/>
          <w14:textFill>
            <w14:solidFill>
              <w14:schemeClr w14:val="tx1"/>
            </w14:solidFill>
          </w14:textFill>
        </w:rPr>
        <w:t>：将被控侵权的作品表达与您的作品进行比对，判断两者在独创性表达层面是否构成相同或实质性相似。这是侵权认定的关键环节。</w:t>
      </w:r>
    </w:p>
    <w:p w14:paraId="3BCE304B">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认定逻辑</w:t>
      </w:r>
      <w:r>
        <w:rPr>
          <w:rFonts w:hint="eastAsia" w:ascii="仿宋" w:hAnsi="仿宋" w:eastAsia="仿宋" w:cs="仿宋"/>
          <w:color w:val="000000" w:themeColor="text1"/>
          <w:sz w:val="24"/>
          <w:szCs w:val="24"/>
          <w14:textFill>
            <w14:solidFill>
              <w14:schemeClr w14:val="tx1"/>
            </w14:solidFill>
          </w14:textFill>
        </w:rPr>
        <w:t>：在满足</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“接触”</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（或接触可能性）且作品表达构成</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“实质性相似”</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的情况下，如果侵权方不能举证证明其作品有合法来源（如属于独立创作、来源于公有领域或构成合理使用），法院通常会认定侵权成立。</w:t>
      </w:r>
    </w:p>
    <w:bookmarkEnd w:id="7"/>
    <w:p w14:paraId="672DDA63">
      <w:pPr>
        <w:pStyle w:val="6"/>
        <w:rPr>
          <w:rFonts w:hint="eastAsia" w:ascii="仿宋" w:hAnsi="仿宋" w:eastAsia="仿宋" w:cs="仿宋"/>
          <w:color w:val="000000" w:themeColor="text1"/>
          <w:sz w:val="24"/>
          <w:szCs w:val="24"/>
          <w14:textFill>
            <w14:solidFill>
              <w14:schemeClr w14:val="tx1"/>
            </w14:solidFill>
          </w14:textFill>
        </w:rPr>
      </w:pPr>
      <w:bookmarkStart w:id="8" w:name="著作权侵权的常见行为模式"/>
      <w:r>
        <w:rPr>
          <w:rFonts w:hint="eastAsia"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著作权侵权的常见行为模式</w:t>
      </w:r>
    </w:p>
    <w:p w14:paraId="0BD92915">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了解哪些具体行为可能被认定为侵权，有助于您初步评估风险。根据中国法律与实践，侵权主要集中在未经许可行使著作权人专有权利的行为，当前高发于</w:t>
      </w:r>
      <w:r>
        <w:rPr>
          <w:rFonts w:hint="eastAsia" w:ascii="仿宋" w:hAnsi="仿宋" w:eastAsia="仿宋" w:cs="仿宋"/>
          <w:b/>
          <w:bCs/>
          <w:color w:val="000000" w:themeColor="text1"/>
          <w:sz w:val="24"/>
          <w:szCs w:val="24"/>
          <w14:textFill>
            <w14:solidFill>
              <w14:schemeClr w14:val="tx1"/>
            </w14:solidFill>
          </w14:textFill>
        </w:rPr>
        <w:t>互联网与电商环境</w:t>
      </w:r>
      <w:r>
        <w:rPr>
          <w:rFonts w:hint="eastAsia" w:ascii="仿宋" w:hAnsi="仿宋" w:eastAsia="仿宋" w:cs="仿宋"/>
          <w:color w:val="000000" w:themeColor="text1"/>
          <w:sz w:val="24"/>
          <w:szCs w:val="24"/>
          <w14:textFill>
            <w14:solidFill>
              <w14:schemeClr w14:val="tx1"/>
            </w14:solidFill>
          </w14:textFill>
        </w:rPr>
        <w:t>，例如：</w:t>
      </w:r>
    </w:p>
    <w:p w14:paraId="2DF0886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复制、发行权侵权</w:t>
      </w:r>
      <w:r>
        <w:rPr>
          <w:rFonts w:hint="eastAsia" w:ascii="仿宋" w:hAnsi="仿宋" w:eastAsia="仿宋" w:cs="仿宋"/>
          <w:color w:val="000000" w:themeColor="text1"/>
          <w:sz w:val="24"/>
          <w:szCs w:val="24"/>
          <w14:textFill>
            <w14:solidFill>
              <w14:schemeClr w14:val="tx1"/>
            </w14:solidFill>
          </w14:textFill>
        </w:rPr>
        <w:t>：未经许可生产、销售含有您美术作品的产品（如服装、手机壳、家居装饰品等）。</w:t>
      </w:r>
    </w:p>
    <w:p w14:paraId="066F7AA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信息网络传播权侵权</w:t>
      </w:r>
      <w:r>
        <w:rPr>
          <w:rFonts w:hint="eastAsia" w:ascii="仿宋" w:hAnsi="仿宋" w:eastAsia="仿宋" w:cs="仿宋"/>
          <w:color w:val="000000" w:themeColor="text1"/>
          <w:sz w:val="24"/>
          <w:szCs w:val="24"/>
          <w14:textFill>
            <w14:solidFill>
              <w14:schemeClr w14:val="tx1"/>
            </w14:solidFill>
          </w14:textFill>
        </w:rPr>
        <w:t>：未经许可在网站、电商平台商品页、微信公众号、社交媒体（如小红书）中传播您的作品。</w:t>
      </w:r>
    </w:p>
    <w:p w14:paraId="10504685">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软件著作权侵权</w:t>
      </w:r>
      <w:r>
        <w:rPr>
          <w:rFonts w:hint="eastAsia" w:ascii="仿宋" w:hAnsi="仿宋" w:eastAsia="仿宋" w:cs="仿宋"/>
          <w:color w:val="000000" w:themeColor="text1"/>
          <w:sz w:val="24"/>
          <w:szCs w:val="24"/>
          <w14:textFill>
            <w14:solidFill>
              <w14:schemeClr w14:val="tx1"/>
            </w14:solidFill>
          </w14:textFill>
        </w:rPr>
        <w:t>：商业性最终用户未经授权在企业经营中使用盗版软件。</w:t>
      </w:r>
    </w:p>
    <w:p w14:paraId="3F9BA064">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展览权等其他权利侵权</w:t>
      </w:r>
      <w:r>
        <w:rPr>
          <w:rFonts w:hint="eastAsia" w:ascii="仿宋" w:hAnsi="仿宋" w:eastAsia="仿宋" w:cs="仿宋"/>
          <w:color w:val="000000" w:themeColor="text1"/>
          <w:sz w:val="24"/>
          <w:szCs w:val="24"/>
          <w14:textFill>
            <w14:solidFill>
              <w14:schemeClr w14:val="tx1"/>
            </w14:solidFill>
          </w14:textFill>
        </w:rPr>
        <w:t>：未经许可在线下场所公开展示您的作品复制件。</w:t>
      </w:r>
    </w:p>
    <w:bookmarkEnd w:id="5"/>
    <w:bookmarkEnd w:id="8"/>
    <w:p w14:paraId="62ED87E0">
      <w:pPr>
        <w:pStyle w:val="5"/>
        <w:rPr>
          <w:rFonts w:hint="eastAsia" w:ascii="仿宋" w:hAnsi="仿宋" w:eastAsia="仿宋" w:cs="仿宋"/>
          <w:color w:val="000000" w:themeColor="text1"/>
          <w:sz w:val="24"/>
          <w:szCs w:val="24"/>
          <w14:textFill>
            <w14:solidFill>
              <w14:schemeClr w14:val="tx1"/>
            </w14:solidFill>
          </w14:textFill>
        </w:rPr>
      </w:pPr>
      <w:bookmarkStart w:id="9" w:name="总结维权的起点"/>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总结：维权的起点</w:t>
      </w:r>
    </w:p>
    <w:p w14:paraId="64279D2E">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在启动维权前，请您务必确认：</w:t>
      </w:r>
    </w:p>
    <w:p w14:paraId="1A5241AD">
      <w:pPr>
        <w:pStyle w:val="26"/>
        <w:numPr>
          <w:ilvl w:val="0"/>
          <w:numId w:val="2"/>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保护资格</w:t>
      </w:r>
      <w:r>
        <w:rPr>
          <w:rFonts w:hint="eastAsia" w:ascii="仿宋" w:hAnsi="仿宋" w:eastAsia="仿宋" w:cs="仿宋"/>
          <w:color w:val="000000" w:themeColor="text1"/>
          <w:sz w:val="24"/>
          <w:szCs w:val="24"/>
          <w14:textFill>
            <w14:solidFill>
              <w14:schemeClr w14:val="tx1"/>
            </w14:solidFill>
          </w14:textFill>
        </w:rPr>
        <w:t>：您的作品是否因所属国与中国同属《伯尔尼公约》成员国等原因，而满足在中国受保护的法律前提。</w:t>
      </w:r>
    </w:p>
    <w:p w14:paraId="1A6E83C8">
      <w:pPr>
        <w:pStyle w:val="26"/>
        <w:numPr>
          <w:ilvl w:val="0"/>
          <w:numId w:val="2"/>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法律适用</w:t>
      </w:r>
      <w:r>
        <w:rPr>
          <w:rFonts w:hint="eastAsia" w:ascii="仿宋" w:hAnsi="仿宋" w:eastAsia="仿宋" w:cs="仿宋"/>
          <w:color w:val="000000" w:themeColor="text1"/>
          <w:sz w:val="24"/>
          <w:szCs w:val="24"/>
          <w14:textFill>
            <w14:solidFill>
              <w14:schemeClr w14:val="tx1"/>
            </w14:solidFill>
          </w14:textFill>
        </w:rPr>
        <w:t>：在中国进行的维权诉讼，其审理将最终适用《中华人民共和国著作权法》及配套法规。</w:t>
      </w:r>
    </w:p>
    <w:p w14:paraId="67A9951A">
      <w:pPr>
        <w:pStyle w:val="26"/>
        <w:numPr>
          <w:ilvl w:val="0"/>
          <w:numId w:val="2"/>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侵权判断</w:t>
      </w:r>
      <w:r>
        <w:rPr>
          <w:rFonts w:hint="eastAsia" w:ascii="仿宋" w:hAnsi="仿宋" w:eastAsia="仿宋" w:cs="仿宋"/>
          <w:color w:val="000000" w:themeColor="text1"/>
          <w:sz w:val="24"/>
          <w:szCs w:val="24"/>
          <w14:textFill>
            <w14:solidFill>
              <w14:schemeClr w14:val="tx1"/>
            </w14:solidFill>
          </w14:textFill>
        </w:rPr>
        <w:t>：中国法院将依据</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“接触+实质性相似”</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这一核心标准来判定被控行为是否构成侵权。</w:t>
      </w:r>
    </w:p>
    <w:p w14:paraId="3E1B2278">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只有当上述基础得以确认，后续的取证、行政投诉与司法诉讼等维权步骤才具有稳固的法律基石。</w:t>
      </w:r>
    </w:p>
    <w:bookmarkEnd w:id="0"/>
    <w:bookmarkEnd w:id="9"/>
    <w:p w14:paraId="75620929">
      <w:pPr>
        <w:pStyle w:val="4"/>
        <w:rPr>
          <w:rFonts w:hint="eastAsia" w:ascii="仿宋" w:hAnsi="仿宋" w:eastAsia="仿宋" w:cs="仿宋"/>
          <w:color w:val="000000" w:themeColor="text1"/>
          <w:sz w:val="24"/>
          <w:szCs w:val="24"/>
          <w14:textFill>
            <w14:solidFill>
              <w14:schemeClr w14:val="tx1"/>
            </w14:solidFill>
          </w14:textFill>
        </w:rPr>
      </w:pPr>
      <w:bookmarkStart w:id="10" w:name="二侵权行为的发现途径与初步取证"/>
      <w:r>
        <w:rPr>
          <w:rFonts w:hint="eastAsia" w:ascii="仿宋" w:hAnsi="仿宋" w:eastAsia="仿宋" w:cs="仿宋"/>
          <w:color w:val="000000" w:themeColor="text1"/>
          <w:sz w:val="24"/>
          <w:szCs w:val="24"/>
          <w14:textFill>
            <w14:solidFill>
              <w14:schemeClr w14:val="tx1"/>
            </w14:solidFill>
          </w14:textFill>
        </w:rPr>
        <w:t>二、侵权行为的发现途径与初步取证</w:t>
      </w:r>
    </w:p>
    <w:p w14:paraId="61CE7841">
      <w:pPr>
        <w:pStyle w:val="25"/>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在前文明确了权利受保护、法律适用及典型侵权场景后，权利人面临的首要实操问题是如何有效发现侵权行为并固定初步证据。本节将系统梳理侵权线索的来源渠道与符合中国法律要求的初步取证方法。</w:t>
      </w:r>
    </w:p>
    <w:p w14:paraId="13385B72">
      <w:pPr>
        <w:pStyle w:val="5"/>
        <w:rPr>
          <w:rFonts w:hint="eastAsia" w:ascii="仿宋" w:hAnsi="仿宋" w:eastAsia="仿宋" w:cs="仿宋"/>
          <w:color w:val="000000" w:themeColor="text1"/>
          <w:sz w:val="24"/>
          <w:szCs w:val="24"/>
          <w14:textFill>
            <w14:solidFill>
              <w14:schemeClr w14:val="tx1"/>
            </w14:solidFill>
          </w14:textFill>
        </w:rPr>
      </w:pPr>
      <w:bookmarkStart w:id="11" w:name="一侵权行为的多元发现途径"/>
      <w:r>
        <w:rPr>
          <w:rFonts w:hint="eastAsia" w:ascii="仿宋" w:hAnsi="仿宋" w:eastAsia="仿宋" w:cs="仿宋"/>
          <w:color w:val="000000" w:themeColor="text1"/>
          <w:sz w:val="24"/>
          <w:szCs w:val="24"/>
          <w14:textFill>
            <w14:solidFill>
              <w14:schemeClr w14:val="tx1"/>
            </w14:solidFill>
          </w14:textFill>
        </w:rPr>
        <w:t>（一）侵权行为的多元发现途径</w:t>
      </w:r>
    </w:p>
    <w:p w14:paraId="39C68F74">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侵权行为的发现是一个多源头、多渠道的过程，权利人应建立起系统性的监测机制，结合主动巡查与利用外部渠道。</w:t>
      </w:r>
    </w:p>
    <w:p w14:paraId="09B00EB7">
      <w:pPr>
        <w:pStyle w:val="6"/>
        <w:rPr>
          <w:rFonts w:hint="eastAsia" w:ascii="仿宋" w:hAnsi="仿宋" w:eastAsia="仿宋" w:cs="仿宋"/>
          <w:color w:val="000000" w:themeColor="text1"/>
          <w:sz w:val="24"/>
          <w:szCs w:val="24"/>
          <w14:textFill>
            <w14:solidFill>
              <w14:schemeClr w14:val="tx1"/>
            </w14:solidFill>
          </w14:textFill>
        </w:rPr>
      </w:pPr>
      <w:bookmarkStart w:id="12" w:name="主动市场与网络监测"/>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主动市场与网络监测</w:t>
      </w:r>
    </w:p>
    <w:p w14:paraId="3E349C6A">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这是权利人自行发现侵权最主要的方式，需针对高发场景进行定向排查。</w:t>
      </w:r>
    </w:p>
    <w:p w14:paraId="5542F9A8">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线上平台巡查</w:t>
      </w:r>
      <w:r>
        <w:rPr>
          <w:rFonts w:hint="eastAsia" w:ascii="仿宋" w:hAnsi="仿宋" w:eastAsia="仿宋" w:cs="仿宋"/>
          <w:color w:val="000000" w:themeColor="text1"/>
          <w:sz w:val="24"/>
          <w:szCs w:val="24"/>
          <w14:textFill>
            <w14:solidFill>
              <w14:schemeClr w14:val="tx1"/>
            </w14:solidFill>
          </w14:textFill>
        </w:rPr>
        <w:t>：定期监测主流电商平台（如淘宝、天猫、京东、拼多多、1688）、社交媒体（如微信、微博、小红书、抖音）及视频网站。重点检查商品销售页面、店铺装修、宣传文章、视频背景中是否未经许可使用了您的美术作品、摄影作品、音乐或视听作品。</w:t>
      </w:r>
    </w:p>
    <w:p w14:paraId="482D5401">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技术手段辅助</w:t>
      </w:r>
      <w:r>
        <w:rPr>
          <w:rFonts w:hint="eastAsia" w:ascii="仿宋" w:hAnsi="仿宋" w:eastAsia="仿宋" w:cs="仿宋"/>
          <w:color w:val="000000" w:themeColor="text1"/>
          <w:sz w:val="24"/>
          <w:szCs w:val="24"/>
          <w14:textFill>
            <w14:solidFill>
              <w14:schemeClr w14:val="tx1"/>
            </w14:solidFill>
          </w14:textFill>
        </w:rPr>
        <w:t>：对于作品数量庞大的权利人，可考虑利用图像识别、文本比对等人工智能技术，对公开的图片库、出版物、域名注册信息等进行批量扫描与预警。</w:t>
      </w:r>
    </w:p>
    <w:p w14:paraId="60B54DDC">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线下商业活动关注</w:t>
      </w:r>
      <w:r>
        <w:rPr>
          <w:rFonts w:hint="eastAsia" w:ascii="仿宋" w:hAnsi="仿宋" w:eastAsia="仿宋" w:cs="仿宋"/>
          <w:color w:val="000000" w:themeColor="text1"/>
          <w:sz w:val="24"/>
          <w:szCs w:val="24"/>
          <w14:textFill>
            <w14:solidFill>
              <w14:schemeClr w14:val="tx1"/>
            </w14:solidFill>
          </w14:textFill>
        </w:rPr>
        <w:t>：在参与中国境内的展会、考察合作伙伴或竞争对手时，留意其展台设计、宣传册、产品目录、实体店铺装饰、背景音乐等是否涉嫌侵权。</w:t>
      </w:r>
    </w:p>
    <w:p w14:paraId="6926F6A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软件版权审计</w:t>
      </w:r>
      <w:r>
        <w:rPr>
          <w:rFonts w:hint="eastAsia" w:ascii="仿宋" w:hAnsi="仿宋" w:eastAsia="仿宋" w:cs="仿宋"/>
          <w:color w:val="000000" w:themeColor="text1"/>
          <w:sz w:val="24"/>
          <w:szCs w:val="24"/>
          <w14:textFill>
            <w14:solidFill>
              <w14:schemeClr w14:val="tx1"/>
            </w14:solidFill>
          </w14:textFill>
        </w:rPr>
        <w:t>：对于软件权利人，可通过市场购买、合作伙伴反馈或商业情报了解行业内企业是否在经营性使用盗版软件。</w:t>
      </w:r>
    </w:p>
    <w:bookmarkEnd w:id="12"/>
    <w:p w14:paraId="70E10A54">
      <w:pPr>
        <w:pStyle w:val="6"/>
        <w:rPr>
          <w:rFonts w:hint="eastAsia" w:ascii="仿宋" w:hAnsi="仿宋" w:eastAsia="仿宋" w:cs="仿宋"/>
          <w:color w:val="000000" w:themeColor="text1"/>
          <w:sz w:val="24"/>
          <w:szCs w:val="24"/>
          <w14:textFill>
            <w14:solidFill>
              <w14:schemeClr w14:val="tx1"/>
            </w14:solidFill>
          </w14:textFill>
        </w:rPr>
      </w:pPr>
      <w:bookmarkStart w:id="13" w:name="来自第三方与执法机构的线索"/>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来自第三方与执法机构的线索</w:t>
      </w:r>
    </w:p>
    <w:p w14:paraId="14BE7C0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消费者与合作伙伴举报</w:t>
      </w:r>
      <w:r>
        <w:rPr>
          <w:rFonts w:hint="eastAsia" w:ascii="仿宋" w:hAnsi="仿宋" w:eastAsia="仿宋" w:cs="仿宋"/>
          <w:color w:val="000000" w:themeColor="text1"/>
          <w:sz w:val="24"/>
          <w:szCs w:val="24"/>
          <w14:textFill>
            <w14:solidFill>
              <w14:schemeClr w14:val="tx1"/>
            </w14:solidFill>
          </w14:textFill>
        </w:rPr>
        <w:t>：建立畅通的投诉渠道，鼓励消费者、经销商或业务伙伴举报疑似侵权行为。</w:t>
      </w:r>
    </w:p>
    <w:p w14:paraId="6D62DC22">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平台通知-删除机制</w:t>
      </w:r>
      <w:r>
        <w:rPr>
          <w:rFonts w:hint="eastAsia" w:ascii="仿宋" w:hAnsi="仿宋" w:eastAsia="仿宋" w:cs="仿宋"/>
          <w:color w:val="000000" w:themeColor="text1"/>
          <w:sz w:val="24"/>
          <w:szCs w:val="24"/>
          <w14:textFill>
            <w14:solidFill>
              <w14:schemeClr w14:val="tx1"/>
            </w14:solidFill>
          </w14:textFill>
        </w:rPr>
        <w:t>：一旦在某个网络平台发现侵权，可依据中国法律向该平台发送侵权通知，要求其删除或断开链接。平台的处理过程及侵权页面本身也可成为证据来源。</w:t>
      </w:r>
    </w:p>
    <w:p w14:paraId="6CA60D38">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行政执法线索移送</w:t>
      </w:r>
      <w:r>
        <w:rPr>
          <w:rFonts w:hint="eastAsia" w:ascii="仿宋" w:hAnsi="仿宋" w:eastAsia="仿宋" w:cs="仿宋"/>
          <w:color w:val="000000" w:themeColor="text1"/>
          <w:sz w:val="24"/>
          <w:szCs w:val="24"/>
          <w14:textFill>
            <w14:solidFill>
              <w14:schemeClr w14:val="tx1"/>
            </w14:solidFill>
          </w14:textFill>
        </w:rPr>
        <w:t>：中国的文化市场综合执法、市场监管等部门在查处其他案件时，若发现著作权侵权线索，可能启动调查或告知权利人。</w:t>
      </w:r>
    </w:p>
    <w:bookmarkEnd w:id="13"/>
    <w:p w14:paraId="6A5311FD">
      <w:pPr>
        <w:pStyle w:val="6"/>
        <w:rPr>
          <w:rFonts w:hint="eastAsia" w:ascii="仿宋" w:hAnsi="仿宋" w:eastAsia="仿宋" w:cs="仿宋"/>
          <w:color w:val="000000" w:themeColor="text1"/>
          <w:sz w:val="24"/>
          <w:szCs w:val="24"/>
          <w14:textFill>
            <w14:solidFill>
              <w14:schemeClr w14:val="tx1"/>
            </w14:solidFill>
          </w14:textFill>
        </w:rPr>
      </w:pPr>
      <w:bookmarkStart w:id="14" w:name="国际执法协作与海关监控"/>
      <w:r>
        <w:rPr>
          <w:rFonts w:hint="eastAsia"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b/>
          <w:bCs/>
          <w:color w:val="000000" w:themeColor="text1"/>
          <w:sz w:val="24"/>
          <w:szCs w:val="24"/>
          <w14:textFill>
            <w14:solidFill>
              <w14:schemeClr w14:val="tx1"/>
            </w14:solidFill>
          </w14:textFill>
        </w:rPr>
        <w:t>国际执法协作与海关监控</w:t>
      </w:r>
    </w:p>
    <w:p w14:paraId="2503EC74">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海关知识产权保护</w:t>
      </w:r>
      <w:r>
        <w:rPr>
          <w:rFonts w:hint="eastAsia" w:ascii="仿宋" w:hAnsi="仿宋" w:eastAsia="仿宋" w:cs="仿宋"/>
          <w:color w:val="000000" w:themeColor="text1"/>
          <w:sz w:val="24"/>
          <w:szCs w:val="24"/>
          <w14:textFill>
            <w14:solidFill>
              <w14:schemeClr w14:val="tx1"/>
            </w14:solidFill>
          </w14:textFill>
        </w:rPr>
        <w:t>：权利人可向中国海关总署申请知识产权备案。海关在进出口环节查验货物时，可依职权对涉嫌侵权的货物中止放行并通知权利人，或根据权利人申请扣留嫌疑货物。这是发现大规模跨境侵权流通的重要途径。</w:t>
      </w:r>
    </w:p>
    <w:p w14:paraId="6907833D">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国际机构协作</w:t>
      </w:r>
      <w:r>
        <w:rPr>
          <w:rFonts w:hint="eastAsia" w:ascii="仿宋" w:hAnsi="仿宋" w:eastAsia="仿宋" w:cs="仿宋"/>
          <w:color w:val="000000" w:themeColor="text1"/>
          <w:sz w:val="24"/>
          <w:szCs w:val="24"/>
          <w14:textFill>
            <w14:solidFill>
              <w14:schemeClr w14:val="tx1"/>
            </w14:solidFill>
          </w14:textFill>
        </w:rPr>
        <w:t>：例如，可通过美国国家知识产权协调中心（IPR</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Center）的举报系统等进行跨境线索传递。</w:t>
      </w:r>
    </w:p>
    <w:bookmarkEnd w:id="11"/>
    <w:bookmarkEnd w:id="14"/>
    <w:p w14:paraId="22755C4F">
      <w:pPr>
        <w:pStyle w:val="5"/>
        <w:rPr>
          <w:rFonts w:hint="eastAsia" w:ascii="仿宋" w:hAnsi="仿宋" w:eastAsia="仿宋" w:cs="仿宋"/>
          <w:color w:val="000000" w:themeColor="text1"/>
          <w:sz w:val="24"/>
          <w:szCs w:val="24"/>
          <w14:textFill>
            <w14:solidFill>
              <w14:schemeClr w14:val="tx1"/>
            </w14:solidFill>
          </w14:textFill>
        </w:rPr>
      </w:pPr>
      <w:bookmarkStart w:id="15" w:name="二初步取证的具体方法与法律要求"/>
      <w:r>
        <w:rPr>
          <w:rFonts w:hint="eastAsia" w:ascii="仿宋" w:hAnsi="仿宋" w:eastAsia="仿宋" w:cs="仿宋"/>
          <w:color w:val="000000" w:themeColor="text1"/>
          <w:sz w:val="24"/>
          <w:szCs w:val="24"/>
          <w14:textFill>
            <w14:solidFill>
              <w14:schemeClr w14:val="tx1"/>
            </w14:solidFill>
          </w14:textFill>
        </w:rPr>
        <w:t>（二）初步取证的具体方法与法律要求</w:t>
      </w:r>
    </w:p>
    <w:p w14:paraId="5C554BCC">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发现侵权线索后，必须立即采用合法、有效的方式固定证据。取证的核心在于确保证据的</w:t>
      </w:r>
      <w:r>
        <w:rPr>
          <w:rFonts w:hint="eastAsia" w:ascii="仿宋" w:hAnsi="仿宋" w:eastAsia="仿宋" w:cs="仿宋"/>
          <w:b/>
          <w:bCs/>
          <w:color w:val="000000" w:themeColor="text1"/>
          <w:sz w:val="24"/>
          <w:szCs w:val="24"/>
          <w14:textFill>
            <w14:solidFill>
              <w14:schemeClr w14:val="tx1"/>
            </w14:solidFill>
          </w14:textFill>
        </w:rPr>
        <w:t>真实性、合法性与关联性</w:t>
      </w:r>
      <w:r>
        <w:rPr>
          <w:rFonts w:hint="eastAsia" w:ascii="仿宋" w:hAnsi="仿宋" w:eastAsia="仿宋" w:cs="仿宋"/>
          <w:color w:val="000000" w:themeColor="text1"/>
          <w:sz w:val="24"/>
          <w:szCs w:val="24"/>
          <w14:textFill>
            <w14:solidFill>
              <w14:schemeClr w14:val="tx1"/>
            </w14:solidFill>
          </w14:textFill>
        </w:rPr>
        <w:t>，以满足后续行政投诉或司法诉讼的要求。</w:t>
      </w:r>
    </w:p>
    <w:p w14:paraId="4F097954">
      <w:pPr>
        <w:pStyle w:val="6"/>
        <w:rPr>
          <w:rFonts w:hint="eastAsia" w:ascii="仿宋" w:hAnsi="仿宋" w:eastAsia="仿宋" w:cs="仿宋"/>
          <w:color w:val="000000" w:themeColor="text1"/>
          <w:sz w:val="24"/>
          <w:szCs w:val="24"/>
          <w14:textFill>
            <w14:solidFill>
              <w14:schemeClr w14:val="tx1"/>
            </w14:solidFill>
          </w14:textFill>
        </w:rPr>
      </w:pPr>
      <w:bookmarkStart w:id="16" w:name="常规取证方法"/>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常规取证方法</w:t>
      </w:r>
    </w:p>
    <w:p w14:paraId="1B5BAC44">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公证取证</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：委托中国境内的公证机构对侵权事实进行全程监督与记录，是最具证明力的取证方式。适用于：</w:t>
      </w:r>
    </w:p>
    <w:p w14:paraId="4B69A268">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网页证据</w:t>
      </w:r>
      <w:r>
        <w:rPr>
          <w:rFonts w:hint="eastAsia" w:ascii="仿宋" w:hAnsi="仿宋" w:eastAsia="仿宋" w:cs="仿宋"/>
          <w:color w:val="000000" w:themeColor="text1"/>
          <w:sz w:val="24"/>
          <w:szCs w:val="24"/>
          <w14:textFill>
            <w14:solidFill>
              <w14:schemeClr w14:val="tx1"/>
            </w14:solidFill>
          </w14:textFill>
        </w:rPr>
        <w:t>：对侵权网站、电商商品页、社交媒体帖子等进行浏览和截图的全程公证。</w:t>
      </w:r>
    </w:p>
    <w:p w14:paraId="671512D6">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购买证据</w:t>
      </w:r>
      <w:r>
        <w:rPr>
          <w:rFonts w:hint="eastAsia" w:ascii="仿宋" w:hAnsi="仿宋" w:eastAsia="仿宋" w:cs="仿宋"/>
          <w:color w:val="000000" w:themeColor="text1"/>
          <w:sz w:val="24"/>
          <w:szCs w:val="24"/>
          <w14:textFill>
            <w14:solidFill>
              <w14:schemeClr w14:val="tx1"/>
            </w14:solidFill>
          </w14:textFill>
        </w:rPr>
        <w:t>：公证员陪同购买侵权实物，完整记录下单、支付、收货、拆封过程，形成</w:t>
      </w:r>
      <w:r>
        <w:rPr>
          <w:rFonts w:hint="eastAsia" w:ascii="仿宋" w:hAnsi="仿宋" w:eastAsia="仿宋" w:cs="仿宋"/>
          <w:b/>
          <w:bCs/>
          <w:color w:val="000000" w:themeColor="text1"/>
          <w:sz w:val="24"/>
          <w:szCs w:val="24"/>
          <w14:textFill>
            <w14:solidFill>
              <w14:schemeClr w14:val="tx1"/>
            </w14:solidFill>
          </w14:textFill>
        </w:rPr>
        <w:t>购买公证</w:t>
      </w:r>
      <w:r>
        <w:rPr>
          <w:rFonts w:hint="eastAsia" w:ascii="仿宋" w:hAnsi="仿宋" w:eastAsia="仿宋" w:cs="仿宋"/>
          <w:color w:val="000000" w:themeColor="text1"/>
          <w:sz w:val="24"/>
          <w:szCs w:val="24"/>
          <w14:textFill>
            <w14:solidFill>
              <w14:schemeClr w14:val="tx1"/>
            </w14:solidFill>
          </w14:textFill>
        </w:rPr>
        <w:t>。</w:t>
      </w:r>
    </w:p>
    <w:p w14:paraId="06588347">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现场证据</w:t>
      </w:r>
      <w:r>
        <w:rPr>
          <w:rFonts w:hint="eastAsia" w:ascii="仿宋" w:hAnsi="仿宋" w:eastAsia="仿宋" w:cs="仿宋"/>
          <w:color w:val="000000" w:themeColor="text1"/>
          <w:sz w:val="24"/>
          <w:szCs w:val="24"/>
          <w14:textFill>
            <w14:solidFill>
              <w14:schemeClr w14:val="tx1"/>
            </w14:solidFill>
          </w14:textFill>
        </w:rPr>
        <w:t>：对线下侵权场所（如展会摊位、实体店）的现场状况进行拍照、录像公证。</w:t>
      </w:r>
    </w:p>
    <w:p w14:paraId="18A2FADD">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自行购买与记录</w:t>
      </w:r>
      <w:r>
        <w:rPr>
          <w:rFonts w:hint="eastAsia" w:ascii="仿宋" w:hAnsi="仿宋" w:eastAsia="仿宋" w:cs="仿宋"/>
          <w:color w:val="000000" w:themeColor="text1"/>
          <w:sz w:val="24"/>
          <w:szCs w:val="24"/>
          <w14:textFill>
            <w14:solidFill>
              <w14:schemeClr w14:val="tx1"/>
            </w14:solidFill>
          </w14:textFill>
        </w:rPr>
        <w:t>：在不便立即公证的情况下，可自行购买侵权商品，并</w:t>
      </w:r>
      <w:r>
        <w:rPr>
          <w:rFonts w:hint="eastAsia" w:ascii="仿宋" w:hAnsi="仿宋" w:eastAsia="仿宋" w:cs="仿宋"/>
          <w:b/>
          <w:bCs/>
          <w:color w:val="000000" w:themeColor="text1"/>
          <w:sz w:val="24"/>
          <w:szCs w:val="24"/>
          <w14:textFill>
            <w14:solidFill>
              <w14:schemeClr w14:val="tx1"/>
            </w14:solidFill>
          </w14:textFill>
        </w:rPr>
        <w:t>完整保存</w:t>
      </w:r>
      <w:r>
        <w:rPr>
          <w:rFonts w:hint="eastAsia" w:ascii="仿宋" w:hAnsi="仿宋" w:eastAsia="仿宋" w:cs="仿宋"/>
          <w:color w:val="000000" w:themeColor="text1"/>
          <w:sz w:val="24"/>
          <w:szCs w:val="24"/>
          <w14:textFill>
            <w14:solidFill>
              <w14:schemeClr w14:val="tx1"/>
            </w14:solidFill>
          </w14:textFill>
        </w:rPr>
        <w:t>订单号、支付凭证（截图）、物流单号、收到商品的包装及实物。同时，对相关侵权网页进行</w:t>
      </w:r>
      <w:r>
        <w:rPr>
          <w:rFonts w:hint="eastAsia" w:ascii="仿宋" w:hAnsi="仿宋" w:eastAsia="仿宋" w:cs="仿宋"/>
          <w:b/>
          <w:bCs/>
          <w:color w:val="000000" w:themeColor="text1"/>
          <w:sz w:val="24"/>
          <w:szCs w:val="24"/>
          <w14:textFill>
            <w14:solidFill>
              <w14:schemeClr w14:val="tx1"/>
            </w14:solidFill>
          </w14:textFill>
        </w:rPr>
        <w:t>截图或录屏</w:t>
      </w:r>
      <w:r>
        <w:rPr>
          <w:rFonts w:hint="eastAsia" w:ascii="仿宋" w:hAnsi="仿宋" w:eastAsia="仿宋" w:cs="仿宋"/>
          <w:color w:val="000000" w:themeColor="text1"/>
          <w:sz w:val="24"/>
          <w:szCs w:val="24"/>
          <w14:textFill>
            <w14:solidFill>
              <w14:schemeClr w14:val="tx1"/>
            </w14:solidFill>
          </w14:textFill>
        </w:rPr>
        <w:t>。建议使用</w:t>
      </w:r>
      <w:r>
        <w:rPr>
          <w:rFonts w:hint="eastAsia" w:ascii="仿宋" w:hAnsi="仿宋" w:eastAsia="仿宋" w:cs="仿宋"/>
          <w:b/>
          <w:bCs/>
          <w:color w:val="000000" w:themeColor="text1"/>
          <w:sz w:val="24"/>
          <w:szCs w:val="24"/>
          <w14:textFill>
            <w14:solidFill>
              <w14:schemeClr w14:val="tx1"/>
            </w14:solidFill>
          </w14:textFill>
        </w:rPr>
        <w:t>可信时间戳</w:t>
      </w:r>
      <w:r>
        <w:rPr>
          <w:rFonts w:hint="eastAsia" w:ascii="仿宋" w:hAnsi="仿宋" w:eastAsia="仿宋" w:cs="仿宋"/>
          <w:color w:val="000000" w:themeColor="text1"/>
          <w:sz w:val="24"/>
          <w:szCs w:val="24"/>
          <w14:textFill>
            <w14:solidFill>
              <w14:schemeClr w14:val="tx1"/>
            </w14:solidFill>
          </w14:textFill>
        </w:rPr>
        <w:t>等电子存证工具对截图过程进行固定，以证明其产生时间及内容未被篡改。</w:t>
      </w:r>
    </w:p>
    <w:p w14:paraId="049E9A6B">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利用第三方电子存证平台</w:t>
      </w:r>
      <w:r>
        <w:rPr>
          <w:rFonts w:hint="eastAsia" w:ascii="仿宋" w:hAnsi="仿宋" w:eastAsia="仿宋" w:cs="仿宋"/>
          <w:color w:val="000000" w:themeColor="text1"/>
          <w:sz w:val="24"/>
          <w:szCs w:val="24"/>
          <w14:textFill>
            <w14:solidFill>
              <w14:schemeClr w14:val="tx1"/>
            </w14:solidFill>
          </w14:textFill>
        </w:rPr>
        <w:t>：通过符合技术规范的第三方平台，利用区块链、时间戳、哈希值校验等技术固定网络电子证据。法院一般认为，能够证明其真实性的此类电子数据应予确认。</w:t>
      </w:r>
    </w:p>
    <w:bookmarkEnd w:id="16"/>
    <w:p w14:paraId="058F9CF2">
      <w:pPr>
        <w:pStyle w:val="6"/>
        <w:rPr>
          <w:rFonts w:hint="eastAsia" w:ascii="仿宋" w:hAnsi="仿宋" w:eastAsia="仿宋" w:cs="仿宋"/>
          <w:color w:val="000000" w:themeColor="text1"/>
          <w:sz w:val="24"/>
          <w:szCs w:val="24"/>
          <w14:textFill>
            <w14:solidFill>
              <w14:schemeClr w14:val="tx1"/>
            </w14:solidFill>
          </w14:textFill>
        </w:rPr>
      </w:pPr>
      <w:bookmarkStart w:id="17" w:name="针对隐蔽或复杂侵权的取证申请证据保全"/>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针对隐蔽或复杂侵权的取证：申请证据保全</w:t>
      </w:r>
    </w:p>
    <w:p w14:paraId="5CDD31E6">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当侵权证据（如企业内安装的盗版软件、服务器中的源代码、大批量库存）位于侵权方控制之下且难以自行取得时，应向法院申请</w:t>
      </w:r>
      <w:r>
        <w:rPr>
          <w:rFonts w:hint="eastAsia" w:ascii="仿宋" w:hAnsi="仿宋" w:eastAsia="仿宋" w:cs="仿宋"/>
          <w:b/>
          <w:bCs/>
          <w:color w:val="000000" w:themeColor="text1"/>
          <w:sz w:val="24"/>
          <w:szCs w:val="24"/>
          <w14:textFill>
            <w14:solidFill>
              <w14:schemeClr w14:val="tx1"/>
            </w14:solidFill>
          </w14:textFill>
        </w:rPr>
        <w:t>证据保全</w:t>
      </w:r>
      <w:r>
        <w:rPr>
          <w:rFonts w:hint="eastAsia" w:ascii="仿宋" w:hAnsi="仿宋" w:eastAsia="仿宋" w:cs="仿宋"/>
          <w:color w:val="000000" w:themeColor="text1"/>
          <w:sz w:val="24"/>
          <w:szCs w:val="24"/>
          <w14:textFill>
            <w14:solidFill>
              <w14:schemeClr w14:val="tx1"/>
            </w14:solidFill>
          </w14:textFill>
        </w:rPr>
        <w:t>。</w:t>
      </w:r>
    </w:p>
    <w:p w14:paraId="08D81EE9">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适用条件</w:t>
      </w:r>
      <w:r>
        <w:rPr>
          <w:rFonts w:hint="eastAsia" w:ascii="仿宋" w:hAnsi="仿宋" w:eastAsia="仿宋" w:cs="仿宋"/>
          <w:color w:val="000000" w:themeColor="text1"/>
          <w:sz w:val="24"/>
          <w:szCs w:val="24"/>
          <w14:textFill>
            <w14:solidFill>
              <w14:schemeClr w14:val="tx1"/>
            </w14:solidFill>
          </w14:textFill>
        </w:rPr>
        <w:t>：证据可能灭失或以后难以取得。</w:t>
      </w:r>
    </w:p>
    <w:p w14:paraId="6F0BF3D1">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申请时机</w:t>
      </w:r>
      <w:r>
        <w:rPr>
          <w:rFonts w:hint="eastAsia" w:ascii="仿宋" w:hAnsi="仿宋" w:eastAsia="仿宋" w:cs="仿宋"/>
          <w:color w:val="000000" w:themeColor="text1"/>
          <w:sz w:val="24"/>
          <w:szCs w:val="24"/>
          <w14:textFill>
            <w14:solidFill>
              <w14:schemeClr w14:val="tx1"/>
            </w14:solidFill>
          </w14:textFill>
        </w:rPr>
        <w:t>：可在起诉前（需在法院采取保全措施后30日内提起诉讼）或诉讼过程中提出。</w:t>
      </w:r>
    </w:p>
    <w:p w14:paraId="590EC2C6">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法院措施</w:t>
      </w:r>
      <w:r>
        <w:rPr>
          <w:rFonts w:hint="eastAsia" w:ascii="仿宋" w:hAnsi="仿宋" w:eastAsia="仿宋" w:cs="仿宋"/>
          <w:color w:val="000000" w:themeColor="text1"/>
          <w:sz w:val="24"/>
          <w:szCs w:val="24"/>
          <w14:textFill>
            <w14:solidFill>
              <w14:schemeClr w14:val="tx1"/>
            </w14:solidFill>
          </w14:textFill>
        </w:rPr>
        <w:t>：法院可能采取现场查验计算机、复制软件信息、查封服务器或存储介质、拍照录像等措施。被申请人无正当理由拒不配合（如拒绝提供密码），法院可</w:t>
      </w:r>
      <w:r>
        <w:rPr>
          <w:rFonts w:hint="eastAsia" w:ascii="仿宋" w:hAnsi="仿宋" w:eastAsia="仿宋" w:cs="仿宋"/>
          <w:b/>
          <w:bCs/>
          <w:color w:val="000000" w:themeColor="text1"/>
          <w:sz w:val="24"/>
          <w:szCs w:val="24"/>
          <w14:textFill>
            <w14:solidFill>
              <w14:schemeClr w14:val="tx1"/>
            </w14:solidFill>
          </w14:textFill>
        </w:rPr>
        <w:t>推定申请人关于该证据的主张成立</w:t>
      </w:r>
      <w:r>
        <w:rPr>
          <w:rFonts w:hint="eastAsia" w:ascii="仿宋" w:hAnsi="仿宋" w:eastAsia="仿宋" w:cs="仿宋"/>
          <w:color w:val="000000" w:themeColor="text1"/>
          <w:sz w:val="24"/>
          <w:szCs w:val="24"/>
          <w14:textFill>
            <w14:solidFill>
              <w14:schemeClr w14:val="tx1"/>
            </w14:solidFill>
          </w14:textFill>
        </w:rPr>
        <w:t>。</w:t>
      </w:r>
    </w:p>
    <w:p w14:paraId="2E155EFC">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担保要求</w:t>
      </w:r>
      <w:r>
        <w:rPr>
          <w:rFonts w:hint="eastAsia" w:ascii="仿宋" w:hAnsi="仿宋" w:eastAsia="仿宋" w:cs="仿宋"/>
          <w:color w:val="000000" w:themeColor="text1"/>
          <w:sz w:val="24"/>
          <w:szCs w:val="24"/>
          <w14:textFill>
            <w14:solidFill>
              <w14:schemeClr w14:val="tx1"/>
            </w14:solidFill>
          </w14:textFill>
        </w:rPr>
        <w:t>：若保全可能造成被申请人财产损失，法院可能要求申请人提供相应担保。</w:t>
      </w:r>
    </w:p>
    <w:bookmarkEnd w:id="17"/>
    <w:p w14:paraId="3FEEC7CC">
      <w:pPr>
        <w:pStyle w:val="6"/>
        <w:rPr>
          <w:rFonts w:hint="eastAsia" w:ascii="仿宋" w:hAnsi="仿宋" w:eastAsia="仿宋" w:cs="仿宋"/>
          <w:color w:val="000000" w:themeColor="text1"/>
          <w:sz w:val="24"/>
          <w:szCs w:val="24"/>
          <w14:textFill>
            <w14:solidFill>
              <w14:schemeClr w14:val="tx1"/>
            </w14:solidFill>
          </w14:textFill>
        </w:rPr>
      </w:pPr>
      <w:bookmarkStart w:id="18" w:name="涉外取证的特殊要求"/>
      <w:r>
        <w:rPr>
          <w:rFonts w:hint="eastAsia"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b/>
          <w:bCs/>
          <w:color w:val="000000" w:themeColor="text1"/>
          <w:sz w:val="24"/>
          <w:szCs w:val="24"/>
          <w14:textFill>
            <w14:solidFill>
              <w14:schemeClr w14:val="tx1"/>
            </w14:solidFill>
          </w14:textFill>
        </w:rPr>
        <w:t>涉外取证的特殊要求</w:t>
      </w:r>
    </w:p>
    <w:p w14:paraId="48FC7DE7">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域外证据的公证认证</w:t>
      </w:r>
      <w:r>
        <w:rPr>
          <w:rFonts w:hint="eastAsia" w:ascii="仿宋" w:hAnsi="仿宋" w:eastAsia="仿宋" w:cs="仿宋"/>
          <w:color w:val="000000" w:themeColor="text1"/>
          <w:sz w:val="24"/>
          <w:szCs w:val="24"/>
          <w14:textFill>
            <w14:solidFill>
              <w14:schemeClr w14:val="tx1"/>
            </w14:solidFill>
          </w14:textFill>
        </w:rPr>
        <w:t>：在中华人民共和国</w:t>
      </w:r>
      <w:r>
        <w:rPr>
          <w:rFonts w:hint="eastAsia" w:ascii="仿宋" w:hAnsi="仿宋" w:eastAsia="仿宋" w:cs="仿宋"/>
          <w:b/>
          <w:bCs/>
          <w:color w:val="000000" w:themeColor="text1"/>
          <w:sz w:val="24"/>
          <w:szCs w:val="24"/>
          <w14:textFill>
            <w14:solidFill>
              <w14:schemeClr w14:val="tx1"/>
            </w14:solidFill>
          </w14:textFill>
        </w:rPr>
        <w:t>领域外形成</w:t>
      </w:r>
      <w:r>
        <w:rPr>
          <w:rFonts w:hint="eastAsia" w:ascii="仿宋" w:hAnsi="仿宋" w:eastAsia="仿宋" w:cs="仿宋"/>
          <w:color w:val="000000" w:themeColor="text1"/>
          <w:sz w:val="24"/>
          <w:szCs w:val="24"/>
          <w14:textFill>
            <w14:solidFill>
              <w14:schemeClr w14:val="tx1"/>
            </w14:solidFill>
          </w14:textFill>
        </w:rPr>
        <w:t>的证据（如权利人的原始权利证书、国外进行的购买凭证或公证文书），原则上需经所在国公证机关证明，并</w:t>
      </w:r>
      <w:r>
        <w:rPr>
          <w:rFonts w:hint="eastAsia" w:ascii="仿宋" w:hAnsi="仿宋" w:eastAsia="仿宋" w:cs="仿宋"/>
          <w:b/>
          <w:bCs/>
          <w:color w:val="000000" w:themeColor="text1"/>
          <w:sz w:val="24"/>
          <w:szCs w:val="24"/>
          <w14:textFill>
            <w14:solidFill>
              <w14:schemeClr w14:val="tx1"/>
            </w14:solidFill>
          </w14:textFill>
        </w:rPr>
        <w:t>经中国驻该国使领馆认证</w:t>
      </w:r>
      <w:r>
        <w:rPr>
          <w:rFonts w:hint="eastAsia" w:ascii="仿宋" w:hAnsi="仿宋" w:eastAsia="仿宋" w:cs="仿宋"/>
          <w:color w:val="000000" w:themeColor="text1"/>
          <w:sz w:val="24"/>
          <w:szCs w:val="24"/>
          <w14:textFill>
            <w14:solidFill>
              <w14:schemeClr w14:val="tx1"/>
            </w14:solidFill>
          </w14:textFill>
        </w:rPr>
        <w:t>，或履行两国间条约的证明手续。</w:t>
      </w:r>
    </w:p>
    <w:p w14:paraId="17356573">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例外</w:t>
      </w:r>
      <w:r>
        <w:rPr>
          <w:rFonts w:hint="eastAsia" w:ascii="仿宋" w:hAnsi="仿宋" w:eastAsia="仿宋" w:cs="仿宋"/>
          <w:color w:val="000000" w:themeColor="text1"/>
          <w:sz w:val="24"/>
          <w:szCs w:val="24"/>
          <w14:textFill>
            <w14:solidFill>
              <w14:schemeClr w14:val="tx1"/>
            </w14:solidFill>
          </w14:textFill>
        </w:rPr>
        <w:t>：已为生效裁判所确认、能从官方公开渠道获得的出版物等证据，可免于公证认证。</w:t>
      </w:r>
    </w:p>
    <w:p w14:paraId="51A19D72">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外文证据的中文译本</w:t>
      </w:r>
      <w:r>
        <w:rPr>
          <w:rFonts w:hint="eastAsia" w:ascii="仿宋" w:hAnsi="仿宋" w:eastAsia="仿宋" w:cs="仿宋"/>
          <w:color w:val="000000" w:themeColor="text1"/>
          <w:sz w:val="24"/>
          <w:szCs w:val="24"/>
          <w14:textFill>
            <w14:solidFill>
              <w14:schemeClr w14:val="tx1"/>
            </w14:solidFill>
          </w14:textFill>
        </w:rPr>
        <w:t>：向中国行政机关或法院提交的外文证据，必须附上</w:t>
      </w:r>
      <w:r>
        <w:rPr>
          <w:rFonts w:hint="eastAsia" w:ascii="仿宋" w:hAnsi="仿宋" w:eastAsia="仿宋" w:cs="仿宋"/>
          <w:b/>
          <w:bCs/>
          <w:color w:val="000000" w:themeColor="text1"/>
          <w:sz w:val="24"/>
          <w:szCs w:val="24"/>
          <w14:textFill>
            <w14:solidFill>
              <w14:schemeClr w14:val="tx1"/>
            </w14:solidFill>
          </w14:textFill>
        </w:rPr>
        <w:t>中文译本</w:t>
      </w:r>
      <w:r>
        <w:rPr>
          <w:rFonts w:hint="eastAsia" w:ascii="仿宋" w:hAnsi="仿宋" w:eastAsia="仿宋" w:cs="仿宋"/>
          <w:color w:val="000000" w:themeColor="text1"/>
          <w:sz w:val="24"/>
          <w:szCs w:val="24"/>
          <w14:textFill>
            <w14:solidFill>
              <w14:schemeClr w14:val="tx1"/>
            </w14:solidFill>
          </w14:textFill>
        </w:rPr>
        <w:t>。译本应由专业翻译机构出具，并加盖公章。</w:t>
      </w:r>
    </w:p>
    <w:p w14:paraId="63E551D3">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委托当地专业支持</w:t>
      </w:r>
      <w:r>
        <w:rPr>
          <w:rFonts w:hint="eastAsia" w:ascii="仿宋" w:hAnsi="仿宋" w:eastAsia="仿宋" w:cs="仿宋"/>
          <w:color w:val="000000" w:themeColor="text1"/>
          <w:sz w:val="24"/>
          <w:szCs w:val="24"/>
          <w14:textFill>
            <w14:solidFill>
              <w14:schemeClr w14:val="tx1"/>
            </w14:solidFill>
          </w14:textFill>
        </w:rPr>
        <w:t>：对于完全发生在境外的侵权行为，强烈建议</w:t>
      </w:r>
      <w:r>
        <w:rPr>
          <w:rFonts w:hint="eastAsia" w:ascii="仿宋" w:hAnsi="仿宋" w:eastAsia="仿宋" w:cs="仿宋"/>
          <w:b/>
          <w:bCs/>
          <w:color w:val="000000" w:themeColor="text1"/>
          <w:sz w:val="24"/>
          <w:szCs w:val="24"/>
          <w14:textFill>
            <w14:solidFill>
              <w14:schemeClr w14:val="tx1"/>
            </w14:solidFill>
          </w14:textFill>
        </w:rPr>
        <w:t>委托侵权行为地当地的律师</w:t>
      </w:r>
      <w:r>
        <w:rPr>
          <w:rFonts w:hint="eastAsia" w:ascii="仿宋" w:hAnsi="仿宋" w:eastAsia="仿宋" w:cs="仿宋"/>
          <w:color w:val="000000" w:themeColor="text1"/>
          <w:sz w:val="24"/>
          <w:szCs w:val="24"/>
          <w14:textFill>
            <w14:solidFill>
              <w14:schemeClr w14:val="tx1"/>
            </w14:solidFill>
          </w14:textFill>
        </w:rPr>
        <w:t>进行取证，以确保符合当地法律对证据形式和取证程序的要求。</w:t>
      </w:r>
    </w:p>
    <w:p w14:paraId="7316A06A">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三）</w:t>
      </w:r>
      <w:r>
        <w:rPr>
          <w:rFonts w:hint="eastAsia" w:ascii="仿宋" w:hAnsi="仿宋" w:eastAsia="仿宋" w:cs="仿宋"/>
          <w:b/>
          <w:bCs/>
          <w:color w:val="000000" w:themeColor="text1"/>
          <w:sz w:val="24"/>
          <w:szCs w:val="24"/>
          <w14:textFill>
            <w14:solidFill>
              <w14:schemeClr w14:val="tx1"/>
            </w14:solidFill>
          </w14:textFill>
        </w:rPr>
        <w:t>初步取证核心内容清单</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无论采用何种方法，取证应尽可能覆盖以下方面：</w:t>
      </w:r>
    </w:p>
    <w:tbl>
      <w:tblPr>
        <w:tblStyle w:val="43"/>
        <w:tblW w:w="0" w:type="auto"/>
        <w:tblInd w:w="0" w:type="dxa"/>
        <w:tblLayout w:type="autofit"/>
        <w:tblCellMar>
          <w:top w:w="0" w:type="dxa"/>
          <w:left w:w="108" w:type="dxa"/>
          <w:bottom w:w="0" w:type="dxa"/>
          <w:right w:w="108" w:type="dxa"/>
        </w:tblCellMar>
      </w:tblPr>
      <w:tblGrid>
        <w:gridCol w:w="876"/>
        <w:gridCol w:w="5363"/>
        <w:gridCol w:w="2617"/>
      </w:tblGrid>
      <w:tr w14:paraId="129ADF5A">
        <w:tblPrEx>
          <w:tblCellMar>
            <w:top w:w="0" w:type="dxa"/>
            <w:left w:w="108" w:type="dxa"/>
            <w:bottom w:w="0" w:type="dxa"/>
            <w:right w:w="108" w:type="dxa"/>
          </w:tblCellMar>
        </w:tblPrEx>
        <w:trPr>
          <w:tblHeader/>
        </w:trPr>
        <w:tc>
          <w:p w14:paraId="21F93BC8">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证据类型</w:t>
            </w:r>
          </w:p>
        </w:tc>
        <w:tc>
          <w:p w14:paraId="646F97C1">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具体内容与目的</w:t>
            </w:r>
          </w:p>
        </w:tc>
        <w:tc>
          <w:p w14:paraId="0A148E16">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注意事项</w:t>
            </w:r>
          </w:p>
        </w:tc>
      </w:tr>
      <w:tr w14:paraId="0404F75A">
        <w:tblPrEx>
          <w:tblCellMar>
            <w:top w:w="0" w:type="dxa"/>
            <w:left w:w="108" w:type="dxa"/>
            <w:bottom w:w="0" w:type="dxa"/>
            <w:right w:w="108" w:type="dxa"/>
          </w:tblCellMar>
        </w:tblPrEx>
        <w:tc>
          <w:p w14:paraId="330CDB29">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权属证据</w:t>
            </w:r>
          </w:p>
        </w:tc>
        <w:tc>
          <w:p w14:paraId="7659F7DD">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证明您是著作权人：作品底稿、发表记录、著作权登记证书（如有）、认证机构证明、权利转让合同等。</w:t>
            </w:r>
          </w:p>
        </w:tc>
        <w:tc>
          <w:p w14:paraId="73C026C1">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域外形成的权属文件需注意公证认证要求。</w:t>
            </w:r>
          </w:p>
        </w:tc>
      </w:tr>
      <w:tr w14:paraId="0418DBBC">
        <w:tblPrEx>
          <w:tblCellMar>
            <w:top w:w="0" w:type="dxa"/>
            <w:left w:w="108" w:type="dxa"/>
            <w:bottom w:w="0" w:type="dxa"/>
            <w:right w:w="108" w:type="dxa"/>
          </w:tblCellMar>
        </w:tblPrEx>
        <w:tc>
          <w:p w14:paraId="1DB20A1F">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侵权证据</w:t>
            </w:r>
          </w:p>
        </w:tc>
        <w:tc>
          <w:p w14:paraId="2A71515B">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证明侵权行为存在：侵权实物、商品链接公证、购买记录、侵权现场照片/视频、软件侵权时的对比分析报告等。</w:t>
            </w:r>
          </w:p>
        </w:tc>
        <w:tc>
          <w:p w14:paraId="6377A64F">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注重证据链的完整性，从发现到固定的全过程记录。</w:t>
            </w:r>
          </w:p>
        </w:tc>
      </w:tr>
      <w:tr w14:paraId="74491653">
        <w:tblPrEx>
          <w:tblCellMar>
            <w:top w:w="0" w:type="dxa"/>
            <w:left w:w="108" w:type="dxa"/>
            <w:bottom w:w="0" w:type="dxa"/>
            <w:right w:w="108" w:type="dxa"/>
          </w:tblCellMar>
        </w:tblPrEx>
        <w:tc>
          <w:p w14:paraId="5D502858">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主体证据</w:t>
            </w:r>
          </w:p>
        </w:tc>
        <w:tc>
          <w:p w14:paraId="7EBCF316">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确定侵权行为人：网站ICP备案信息、电商店铺的营业执照信息、侵权企业的工商登记信息等。</w:t>
            </w:r>
          </w:p>
        </w:tc>
        <w:tc>
          <w:p w14:paraId="61A4D305">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准确锁定被告是后续法律程序的前提。</w:t>
            </w:r>
          </w:p>
        </w:tc>
      </w:tr>
      <w:tr w14:paraId="5744E439">
        <w:tblPrEx>
          <w:tblCellMar>
            <w:top w:w="0" w:type="dxa"/>
            <w:left w:w="108" w:type="dxa"/>
            <w:bottom w:w="0" w:type="dxa"/>
            <w:right w:w="108" w:type="dxa"/>
          </w:tblCellMar>
        </w:tblPrEx>
        <w:tc>
          <w:p w14:paraId="3B235D51">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损害赔偿证据</w:t>
            </w:r>
          </w:p>
        </w:tc>
        <w:tc>
          <w:p w14:paraId="5B93B829">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为索赔提供依据：权利人的正版售价、侵权人的销量数据、权利人为维权支付的合理费用（公证费、律师费、调查费）票据等。</w:t>
            </w:r>
          </w:p>
        </w:tc>
        <w:tc>
          <w:p w14:paraId="53A33EAF">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在初步取证阶段可有意识收集，如公证购买时记录销量。</w:t>
            </w:r>
          </w:p>
        </w:tc>
      </w:tr>
    </w:tbl>
    <w:p w14:paraId="2E6B61C6">
      <w:pPr>
        <w:pStyle w:val="3"/>
        <w:ind w:firstLine="720" w:firstLineChars="3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结而言，有效的维权始于系统性的监控与专业的取证。权利人应结合自身作品特点与市场分布，建立常态化的侵权发现机制。一旦发现线索，务必在专业法律顾问的指导下，根据侵权行为的性质、地点和规模，选择最合适的取证方式，以确保证据的法庭可采性，为后续的行政或司法救济奠定坚实的证据基础。</w:t>
      </w:r>
    </w:p>
    <w:bookmarkEnd w:id="10"/>
    <w:bookmarkEnd w:id="15"/>
    <w:bookmarkEnd w:id="18"/>
    <w:p w14:paraId="675B83FE">
      <w:pPr>
        <w:pStyle w:val="4"/>
        <w:rPr>
          <w:rFonts w:hint="eastAsia" w:ascii="仿宋" w:hAnsi="仿宋" w:eastAsia="仿宋" w:cs="仿宋"/>
          <w:color w:val="000000" w:themeColor="text1"/>
          <w:sz w:val="24"/>
          <w:szCs w:val="24"/>
          <w14:textFill>
            <w14:solidFill>
              <w14:schemeClr w14:val="tx1"/>
            </w14:solidFill>
          </w14:textFill>
        </w:rPr>
      </w:pPr>
      <w:bookmarkStart w:id="19" w:name="三行政投诉与海关知识产权保护流程"/>
      <w:r>
        <w:rPr>
          <w:rFonts w:hint="eastAsia" w:ascii="仿宋" w:hAnsi="仿宋" w:eastAsia="仿宋" w:cs="仿宋"/>
          <w:color w:val="000000" w:themeColor="text1"/>
          <w:sz w:val="24"/>
          <w:szCs w:val="24"/>
          <w14:textFill>
            <w14:solidFill>
              <w14:schemeClr w14:val="tx1"/>
            </w14:solidFill>
          </w14:textFill>
        </w:rPr>
        <w:t>三、行政投诉与海关知识产权保护流程</w:t>
      </w:r>
    </w:p>
    <w:p w14:paraId="27B9BBFF">
      <w:pPr>
        <w:pStyle w:val="25"/>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基于[前序章节]已完成的侵权行为锁定、证据固定及海关备案工作，权利人可以高效启动下列非诉讼行政程序。行政途径具有</w:t>
      </w:r>
      <w:r>
        <w:rPr>
          <w:rFonts w:hint="eastAsia" w:ascii="仿宋" w:hAnsi="仿宋" w:eastAsia="仿宋" w:cs="仿宋"/>
          <w:b/>
          <w:bCs/>
          <w:color w:val="000000" w:themeColor="text1"/>
          <w:sz w:val="24"/>
          <w:szCs w:val="24"/>
          <w14:textFill>
            <w14:solidFill>
              <w14:schemeClr w14:val="tx1"/>
            </w14:solidFill>
          </w14:textFill>
        </w:rPr>
        <w:t>快速制止侵权、威慑效果强</w:t>
      </w:r>
      <w:r>
        <w:rPr>
          <w:rFonts w:hint="eastAsia" w:ascii="仿宋" w:hAnsi="仿宋" w:eastAsia="仿宋" w:cs="仿宋"/>
          <w:color w:val="000000" w:themeColor="text1"/>
          <w:sz w:val="24"/>
          <w:szCs w:val="24"/>
          <w14:textFill>
            <w14:solidFill>
              <w14:schemeClr w14:val="tx1"/>
            </w14:solidFill>
          </w14:textFill>
        </w:rPr>
        <w:t>的特点，是诉讼程序的重要前置或并行选择。</w:t>
      </w:r>
    </w:p>
    <w:p w14:paraId="6A87DD43">
      <w:pPr>
        <w:pStyle w:val="5"/>
        <w:rPr>
          <w:rFonts w:hint="eastAsia" w:ascii="仿宋" w:hAnsi="仿宋" w:eastAsia="仿宋" w:cs="仿宋"/>
          <w:color w:val="000000" w:themeColor="text1"/>
          <w:sz w:val="24"/>
          <w:szCs w:val="24"/>
          <w14:textFill>
            <w14:solidFill>
              <w14:schemeClr w14:val="tx1"/>
            </w14:solidFill>
          </w14:textFill>
        </w:rPr>
      </w:pPr>
      <w:bookmarkStart w:id="20" w:name="一著作权行政投诉流程"/>
      <w:r>
        <w:rPr>
          <w:rFonts w:hint="eastAsia" w:ascii="仿宋" w:hAnsi="仿宋" w:eastAsia="仿宋" w:cs="仿宋"/>
          <w:color w:val="000000" w:themeColor="text1"/>
          <w:sz w:val="24"/>
          <w:szCs w:val="24"/>
          <w14:textFill>
            <w14:solidFill>
              <w14:schemeClr w14:val="tx1"/>
            </w14:solidFill>
          </w14:textFill>
        </w:rPr>
        <w:t>（一）著作权行政投诉流程</w:t>
      </w:r>
    </w:p>
    <w:p w14:paraId="5BAB3265">
      <w:pPr>
        <w:pStyle w:val="25"/>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著作权行政投诉是针对在中国境内发生的、同时损害公共利益的著作权侵权行为，请求行政机关介入调查并作出处理的决定程序。</w:t>
      </w:r>
    </w:p>
    <w:p w14:paraId="5AB4B41F">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确定管辖机关</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权利人应当向有管辖权的</w:t>
      </w:r>
      <w:r>
        <w:rPr>
          <w:rFonts w:hint="eastAsia" w:ascii="仿宋" w:hAnsi="仿宋" w:eastAsia="仿宋" w:cs="仿宋"/>
          <w:b/>
          <w:bCs/>
          <w:color w:val="000000" w:themeColor="text1"/>
          <w:sz w:val="24"/>
          <w:szCs w:val="24"/>
          <w14:textFill>
            <w14:solidFill>
              <w14:schemeClr w14:val="tx1"/>
            </w14:solidFill>
          </w14:textFill>
        </w:rPr>
        <w:t>县级以上地方人民政府的著作权行政管理部门</w:t>
      </w:r>
      <w:r>
        <w:rPr>
          <w:rFonts w:hint="eastAsia" w:ascii="仿宋" w:hAnsi="仿宋" w:eastAsia="仿宋" w:cs="仿宋"/>
          <w:color w:val="000000" w:themeColor="text1"/>
          <w:sz w:val="24"/>
          <w:szCs w:val="24"/>
          <w14:textFill>
            <w14:solidFill>
              <w14:schemeClr w14:val="tx1"/>
            </w14:solidFill>
          </w14:textFill>
        </w:rPr>
        <w:t>（如省、市版权局/新闻出版局/文化和旅游厅（局）等）提交投诉。</w:t>
      </w:r>
    </w:p>
    <w:p w14:paraId="20E970BC">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地域管辖原则</w:t>
      </w:r>
      <w:r>
        <w:rPr>
          <w:rFonts w:hint="eastAsia" w:ascii="仿宋" w:hAnsi="仿宋" w:eastAsia="仿宋" w:cs="仿宋"/>
          <w:color w:val="000000" w:themeColor="text1"/>
          <w:sz w:val="24"/>
          <w:szCs w:val="24"/>
          <w14:textFill>
            <w14:solidFill>
              <w14:schemeClr w14:val="tx1"/>
            </w14:solidFill>
          </w14:textFill>
        </w:rPr>
        <w:t>：原则上由</w:t>
      </w:r>
      <w:r>
        <w:rPr>
          <w:rFonts w:hint="eastAsia" w:ascii="仿宋" w:hAnsi="仿宋" w:eastAsia="仿宋" w:cs="仿宋"/>
          <w:b/>
          <w:bCs/>
          <w:color w:val="000000" w:themeColor="text1"/>
          <w:sz w:val="24"/>
          <w:szCs w:val="24"/>
          <w14:textFill>
            <w14:solidFill>
              <w14:schemeClr w14:val="tx1"/>
            </w14:solidFill>
          </w14:textFill>
        </w:rPr>
        <w:t>侵权行为发生地</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b/>
          <w:bCs/>
          <w:color w:val="000000" w:themeColor="text1"/>
          <w:sz w:val="24"/>
          <w:szCs w:val="24"/>
          <w14:textFill>
            <w14:solidFill>
              <w14:schemeClr w14:val="tx1"/>
            </w14:solidFill>
          </w14:textFill>
        </w:rPr>
        <w:t>被投诉人（侵权方）住所地</w:t>
      </w:r>
      <w:r>
        <w:rPr>
          <w:rFonts w:hint="eastAsia" w:ascii="仿宋" w:hAnsi="仿宋" w:eastAsia="仿宋" w:cs="仿宋"/>
          <w:color w:val="000000" w:themeColor="text1"/>
          <w:sz w:val="24"/>
          <w:szCs w:val="24"/>
          <w14:textFill>
            <w14:solidFill>
              <w14:schemeClr w14:val="tx1"/>
            </w14:solidFill>
          </w14:textFill>
        </w:rPr>
        <w:t>的著作权行政管理部门管辖。</w:t>
      </w:r>
    </w:p>
    <w:p w14:paraId="62AD8987">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网络侵权管辖</w:t>
      </w:r>
      <w:r>
        <w:rPr>
          <w:rFonts w:hint="eastAsia" w:ascii="仿宋" w:hAnsi="仿宋" w:eastAsia="仿宋" w:cs="仿宋"/>
          <w:color w:val="000000" w:themeColor="text1"/>
          <w:sz w:val="24"/>
          <w:szCs w:val="24"/>
          <w14:textFill>
            <w14:solidFill>
              <w14:schemeClr w14:val="tx1"/>
            </w14:solidFill>
          </w14:textFill>
        </w:rPr>
        <w:t>：对于通过信息网络实施的侵权行为，可参照相关司法实践，由侵权行为实施地（如网络服务器、计算机终端设备所在地、侵权主体经营地）的部门管辖。例如，侵权网店的运营公司所在地执法部门具有管辖权。</w:t>
      </w:r>
    </w:p>
    <w:p w14:paraId="58F61205">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提交投诉申请</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权利人需准备并提交完整的投诉材料。核心材料清单与要求如下：</w:t>
      </w:r>
    </w:p>
    <w:tbl>
      <w:tblPr>
        <w:tblStyle w:val="43"/>
        <w:tblW w:w="5000" w:type="pct"/>
        <w:tblInd w:w="0" w:type="dxa"/>
        <w:tblLayout w:type="fixed"/>
        <w:tblCellMar>
          <w:top w:w="0" w:type="dxa"/>
          <w:left w:w="108" w:type="dxa"/>
          <w:bottom w:w="0" w:type="dxa"/>
          <w:right w:w="108" w:type="dxa"/>
        </w:tblCellMar>
      </w:tblPr>
      <w:tblGrid>
        <w:gridCol w:w="2952"/>
        <w:gridCol w:w="2952"/>
        <w:gridCol w:w="2952"/>
      </w:tblGrid>
      <w:tr w14:paraId="33815775">
        <w:trPr>
          <w:tblHeader/>
        </w:trPr>
        <w:tc>
          <w:p w14:paraId="42D823DD">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材料类别</w:t>
            </w:r>
          </w:p>
        </w:tc>
        <w:tc>
          <w:p w14:paraId="55002A18">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具体文件与要求</w:t>
            </w:r>
          </w:p>
        </w:tc>
        <w:tc>
          <w:p w14:paraId="5E789F86">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与前序工作衔接</w:t>
            </w:r>
          </w:p>
        </w:tc>
      </w:tr>
      <w:tr w14:paraId="5E57F6BA">
        <w:tblPrEx>
          <w:tblCellMar>
            <w:top w:w="0" w:type="dxa"/>
            <w:left w:w="108" w:type="dxa"/>
            <w:bottom w:w="0" w:type="dxa"/>
            <w:right w:w="108" w:type="dxa"/>
          </w:tblCellMar>
        </w:tblPrEx>
        <w:tc>
          <w:p w14:paraId="69893F4E">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核心申请文件</w:t>
            </w:r>
          </w:p>
        </w:tc>
        <w:tc>
          <w:p w14:paraId="6A697443">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调查申请书</w:t>
            </w:r>
            <w:r>
              <w:rPr>
                <w:rFonts w:hint="eastAsia" w:ascii="仿宋" w:hAnsi="仿宋" w:eastAsia="仿宋" w:cs="仿宋"/>
                <w:color w:val="000000" w:themeColor="text1"/>
                <w:sz w:val="24"/>
                <w:szCs w:val="24"/>
                <w14:textFill>
                  <w14:solidFill>
                    <w14:schemeClr w14:val="tx1"/>
                  </w14:solidFill>
                </w14:textFill>
              </w:rPr>
              <w:t>：需写明投诉人与被投诉人的名称/姓名、地址、投诉日期，以及</w:t>
            </w:r>
            <w:r>
              <w:rPr>
                <w:rFonts w:hint="eastAsia" w:ascii="仿宋" w:hAnsi="仿宋" w:eastAsia="仿宋" w:cs="仿宋"/>
                <w:b/>
                <w:bCs/>
                <w:color w:val="000000" w:themeColor="text1"/>
                <w:sz w:val="24"/>
                <w:szCs w:val="24"/>
                <w14:textFill>
                  <w14:solidFill>
                    <w14:schemeClr w14:val="tx1"/>
                  </w14:solidFill>
                </w14:textFill>
              </w:rPr>
              <w:t>申请调查的主要事实和理由</w:t>
            </w:r>
            <w:r>
              <w:rPr>
                <w:rFonts w:hint="eastAsia" w:ascii="仿宋" w:hAnsi="仿宋" w:eastAsia="仿宋" w:cs="仿宋"/>
                <w:color w:val="000000" w:themeColor="text1"/>
                <w:sz w:val="24"/>
                <w:szCs w:val="24"/>
                <w14:textFill>
                  <w14:solidFill>
                    <w14:schemeClr w14:val="tx1"/>
                  </w14:solidFill>
                </w14:textFill>
              </w:rPr>
              <w:t>。</w:t>
            </w:r>
          </w:p>
        </w:tc>
        <w:tc>
          <w:p w14:paraId="65574723">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基于已锁定的侵权主体和场景撰写。</w:t>
            </w:r>
          </w:p>
        </w:tc>
      </w:tr>
      <w:tr w14:paraId="2440F78A">
        <w:tblPrEx>
          <w:tblCellMar>
            <w:top w:w="0" w:type="dxa"/>
            <w:left w:w="108" w:type="dxa"/>
            <w:bottom w:w="0" w:type="dxa"/>
            <w:right w:w="108" w:type="dxa"/>
          </w:tblCellMar>
        </w:tblPrEx>
        <w:tc>
          <w:p w14:paraId="3188D5C8">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身份与授权证明</w:t>
            </w:r>
          </w:p>
        </w:tc>
        <w:tc>
          <w:p w14:paraId="02BE6F13">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投诉人身份证明</w:t>
            </w:r>
            <w:r>
              <w:rPr>
                <w:rFonts w:hint="eastAsia" w:ascii="仿宋" w:hAnsi="仿宋" w:eastAsia="仿宋" w:cs="仿宋"/>
                <w:color w:val="000000" w:themeColor="text1"/>
                <w:sz w:val="24"/>
                <w:szCs w:val="24"/>
                <w14:textFill>
                  <w14:solidFill>
                    <w14:schemeClr w14:val="tx1"/>
                  </w14:solidFill>
                </w14:textFill>
              </w:rPr>
              <w:t>（如公司营业执照复印件）。</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授权委托书</w:t>
            </w:r>
            <w:r>
              <w:rPr>
                <w:rFonts w:hint="eastAsia" w:ascii="仿宋" w:hAnsi="仿宋" w:eastAsia="仿宋" w:cs="仿宋"/>
                <w:color w:val="000000" w:themeColor="text1"/>
                <w:sz w:val="24"/>
                <w:szCs w:val="24"/>
                <w14:textFill>
                  <w14:solidFill>
                    <w14:schemeClr w14:val="tx1"/>
                  </w14:solidFill>
                </w14:textFill>
              </w:rPr>
              <w:t>（如委托律师代理投诉）及代理人身份证明。</w:t>
            </w:r>
          </w:p>
        </w:tc>
        <w:tc>
          <w:p w14:paraId="515F1059">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权利人的主体信息已在权属证据中体现。</w:t>
            </w:r>
          </w:p>
        </w:tc>
      </w:tr>
      <w:tr w14:paraId="181041BC">
        <w:tblPrEx>
          <w:tblCellMar>
            <w:top w:w="0" w:type="dxa"/>
            <w:left w:w="108" w:type="dxa"/>
            <w:bottom w:w="0" w:type="dxa"/>
            <w:right w:w="108" w:type="dxa"/>
          </w:tblCellMar>
        </w:tblPrEx>
        <w:tc>
          <w:p w14:paraId="22FC8191">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权利归属证据</w:t>
            </w:r>
          </w:p>
        </w:tc>
        <w:tc>
          <w:p w14:paraId="15489708">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color w:val="000000" w:themeColor="text1"/>
                <w:sz w:val="24"/>
                <w:szCs w:val="24"/>
                <w14:textFill>
                  <w14:solidFill>
                    <w14:schemeClr w14:val="tx1"/>
                  </w14:solidFill>
                </w14:textFill>
              </w:rPr>
              <w:t>作品底稿、原件、合法出版物。</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color w:val="000000" w:themeColor="text1"/>
                <w:sz w:val="24"/>
                <w:szCs w:val="24"/>
                <w14:textFill>
                  <w14:solidFill>
                    <w14:schemeClr w14:val="tx1"/>
                  </w14:solidFill>
                </w14:textFill>
              </w:rPr>
              <w:t>著作权登记证书（如有）。</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显示权利归属的合同（如转让合同）。</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4. </w:t>
            </w:r>
            <w:r>
              <w:rPr>
                <w:rFonts w:hint="eastAsia" w:ascii="仿宋" w:hAnsi="仿宋" w:eastAsia="仿宋" w:cs="仿宋"/>
                <w:color w:val="000000" w:themeColor="text1"/>
                <w:sz w:val="24"/>
                <w:szCs w:val="24"/>
                <w14:textFill>
                  <w14:solidFill>
                    <w14:schemeClr w14:val="tx1"/>
                  </w14:solidFill>
                </w14:textFill>
              </w:rPr>
              <w:t>经公证或可信时间戳固定的作品首次发表网页等。</w:t>
            </w:r>
          </w:p>
        </w:tc>
        <w:tc>
          <w:p w14:paraId="3AD4976A">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可直接使用</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[前置取证环节]</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已准备的、经“公证+认证”并附中文译本的权属证据材料。</w:t>
            </w:r>
          </w:p>
        </w:tc>
      </w:tr>
      <w:tr w14:paraId="42625008">
        <w:tblPrEx>
          <w:tblCellMar>
            <w:top w:w="0" w:type="dxa"/>
            <w:left w:w="108" w:type="dxa"/>
            <w:bottom w:w="0" w:type="dxa"/>
            <w:right w:w="108" w:type="dxa"/>
          </w:tblCellMar>
        </w:tblPrEx>
        <w:tc>
          <w:p w14:paraId="4BC0AE8A">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侵权证据</w:t>
            </w:r>
          </w:p>
        </w:tc>
        <w:tc>
          <w:p w14:paraId="78664C44">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侵权复制品</w:t>
            </w:r>
            <w:r>
              <w:rPr>
                <w:rFonts w:hint="eastAsia" w:ascii="仿宋" w:hAnsi="仿宋" w:eastAsia="仿宋" w:cs="仿宋"/>
                <w:color w:val="000000" w:themeColor="text1"/>
                <w:sz w:val="24"/>
                <w:szCs w:val="24"/>
                <w14:textFill>
                  <w14:solidFill>
                    <w14:schemeClr w14:val="tx1"/>
                  </w14:solidFill>
                </w14:textFill>
              </w:rPr>
              <w:t>（如公证购买的实物）。</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公证书</w:t>
            </w:r>
            <w:r>
              <w:rPr>
                <w:rFonts w:hint="eastAsia" w:ascii="仿宋" w:hAnsi="仿宋" w:eastAsia="仿宋" w:cs="仿宋"/>
                <w:color w:val="000000" w:themeColor="text1"/>
                <w:sz w:val="24"/>
                <w:szCs w:val="24"/>
                <w14:textFill>
                  <w14:solidFill>
                    <w14:schemeClr w14:val="tx1"/>
                  </w14:solidFill>
                </w14:textFill>
              </w:rPr>
              <w:t>：证明侵权行为的公证文书（如网页保全、购买过程公证）。</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3. </w:t>
            </w:r>
            <w:r>
              <w:rPr>
                <w:rFonts w:hint="eastAsia" w:ascii="仿宋" w:hAnsi="仿宋" w:eastAsia="仿宋" w:cs="仿宋"/>
                <w:color w:val="000000" w:themeColor="text1"/>
                <w:sz w:val="24"/>
                <w:szCs w:val="24"/>
                <w14:textFill>
                  <w14:solidFill>
                    <w14:schemeClr w14:val="tx1"/>
                  </w14:solidFill>
                </w14:textFill>
              </w:rPr>
              <w:t>侵权记录证据（销售账目、合同等）。</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4. </w:t>
            </w:r>
            <w:r>
              <w:rPr>
                <w:rFonts w:hint="eastAsia" w:ascii="仿宋" w:hAnsi="仿宋" w:eastAsia="仿宋" w:cs="仿宋"/>
                <w:color w:val="000000" w:themeColor="text1"/>
                <w:sz w:val="24"/>
                <w:szCs w:val="24"/>
                <w14:textFill>
                  <w14:solidFill>
                    <w14:schemeClr w14:val="tx1"/>
                  </w14:solidFill>
                </w14:textFill>
              </w:rPr>
              <w:t>现场照片、录像。</w:t>
            </w:r>
          </w:p>
        </w:tc>
        <w:tc>
          <w:p w14:paraId="0BAF0BA1">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可直接提交</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已完成的公证购买记录、网页保全公证书、展会现场公证材料等。</w:t>
            </w:r>
          </w:p>
        </w:tc>
      </w:tr>
      <w:tr w14:paraId="0F899824">
        <w:tblPrEx>
          <w:tblCellMar>
            <w:top w:w="0" w:type="dxa"/>
            <w:left w:w="108" w:type="dxa"/>
            <w:bottom w:w="0" w:type="dxa"/>
            <w:right w:w="108" w:type="dxa"/>
          </w:tblCellMar>
        </w:tblPrEx>
        <w:tc>
          <w:p w14:paraId="7593C1CC">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其他材料</w:t>
            </w:r>
          </w:p>
        </w:tc>
        <w:tc>
          <w:p w14:paraId="672F4FD2">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权利人为制止侵权行为所支付的</w:t>
            </w:r>
            <w:r>
              <w:rPr>
                <w:rFonts w:hint="eastAsia" w:ascii="仿宋" w:hAnsi="仿宋" w:eastAsia="仿宋" w:cs="仿宋"/>
                <w:b/>
                <w:bCs/>
                <w:color w:val="000000" w:themeColor="text1"/>
                <w:sz w:val="24"/>
                <w:szCs w:val="24"/>
                <w14:textFill>
                  <w14:solidFill>
                    <w14:schemeClr w14:val="tx1"/>
                  </w14:solidFill>
                </w14:textFill>
              </w:rPr>
              <w:t>合理费用凭证</w:t>
            </w:r>
            <w:r>
              <w:rPr>
                <w:rFonts w:hint="eastAsia" w:ascii="仿宋" w:hAnsi="仿宋" w:eastAsia="仿宋" w:cs="仿宋"/>
                <w:color w:val="000000" w:themeColor="text1"/>
                <w:sz w:val="24"/>
                <w:szCs w:val="24"/>
                <w14:textFill>
                  <w14:solidFill>
                    <w14:schemeClr w14:val="tx1"/>
                  </w14:solidFill>
                </w14:textFill>
              </w:rPr>
              <w:t>（如公证费、律师费发票），可作为主张相关费用的依据。</w:t>
            </w:r>
          </w:p>
        </w:tc>
        <w:tc>
          <w:p w14:paraId="2BA57241">
            <w:pPr>
              <w:pStyle w:val="26"/>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可直接提供</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已产生的维权费用票据。</w:t>
            </w:r>
          </w:p>
        </w:tc>
      </w:tr>
    </w:tbl>
    <w:p w14:paraId="65188312">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 </w:t>
      </w:r>
      <w:r>
        <w:rPr>
          <w:rFonts w:hint="eastAsia" w:ascii="仿宋" w:hAnsi="仿宋" w:eastAsia="仿宋" w:cs="仿宋"/>
          <w:b/>
          <w:bCs/>
          <w:color w:val="000000" w:themeColor="text1"/>
          <w:sz w:val="24"/>
          <w:szCs w:val="24"/>
          <w14:textFill>
            <w14:solidFill>
              <w14:schemeClr w14:val="tx1"/>
            </w14:solidFill>
          </w14:textFill>
        </w:rPr>
        <w:t>处理流程</w:t>
      </w:r>
    </w:p>
    <w:p w14:paraId="05EA2079">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立案审查</w:t>
      </w:r>
      <w:r>
        <w:rPr>
          <w:rFonts w:hint="eastAsia" w:ascii="仿宋" w:hAnsi="仿宋" w:eastAsia="仿宋" w:cs="仿宋"/>
          <w:color w:val="000000" w:themeColor="text1"/>
          <w:sz w:val="24"/>
          <w:szCs w:val="24"/>
          <w14:textFill>
            <w14:solidFill>
              <w14:schemeClr w14:val="tx1"/>
            </w14:solidFill>
          </w14:textFill>
        </w:rPr>
        <w:t>：行政部门在收到投诉材料后进行审查，并通知投诉人是否受理。若不予受理，应告知理由。</w:t>
      </w:r>
    </w:p>
    <w:p w14:paraId="59EE6C8B">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调查取证</w:t>
      </w:r>
      <w:r>
        <w:rPr>
          <w:rFonts w:hint="eastAsia" w:ascii="仿宋" w:hAnsi="仿宋" w:eastAsia="仿宋" w:cs="仿宋"/>
          <w:color w:val="000000" w:themeColor="text1"/>
          <w:sz w:val="24"/>
          <w:szCs w:val="24"/>
          <w14:textFill>
            <w14:solidFill>
              <w14:schemeClr w14:val="tx1"/>
            </w14:solidFill>
          </w14:textFill>
        </w:rPr>
        <w:t>：行政部门受理后，将对涉嫌损害公共利益的侵权行为进行调查。权利人需配合提供线索与说明。</w:t>
      </w:r>
    </w:p>
    <w:p w14:paraId="36218E2B">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处理决定</w:t>
      </w:r>
      <w:r>
        <w:rPr>
          <w:rFonts w:hint="eastAsia" w:ascii="仿宋" w:hAnsi="仿宋" w:eastAsia="仿宋" w:cs="仿宋"/>
          <w:color w:val="000000" w:themeColor="text1"/>
          <w:sz w:val="24"/>
          <w:szCs w:val="24"/>
          <w14:textFill>
            <w14:solidFill>
              <w14:schemeClr w14:val="tx1"/>
            </w14:solidFill>
          </w14:textFill>
        </w:rPr>
        <w:t>：根据调查结果，行政部门可能作出的处理包括：责令停止侵权行为、予以警告、没收违法所得、没收或销毁侵权复制品及主要用于制作侵权复制品的材料、工具、设备等，并可以处以罚款。</w:t>
      </w:r>
    </w:p>
    <w:p w14:paraId="5AAEBCB0">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后续救济</w:t>
      </w:r>
      <w:r>
        <w:rPr>
          <w:rFonts w:hint="eastAsia" w:ascii="仿宋" w:hAnsi="仿宋" w:eastAsia="仿宋" w:cs="仿宋"/>
          <w:color w:val="000000" w:themeColor="text1"/>
          <w:sz w:val="24"/>
          <w:szCs w:val="24"/>
          <w14:textFill>
            <w14:solidFill>
              <w14:schemeClr w14:val="tx1"/>
            </w14:solidFill>
          </w14:textFill>
        </w:rPr>
        <w:t>：投诉人对行政部门的处理决定不服，可以依法申请行政复议或者提起行政诉讼。</w:t>
      </w:r>
    </w:p>
    <w:p w14:paraId="23F349F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投诉时效</w:t>
      </w:r>
      <w:r>
        <w:rPr>
          <w:rFonts w:hint="eastAsia" w:ascii="仿宋" w:hAnsi="仿宋" w:eastAsia="仿宋" w:cs="仿宋"/>
          <w:color w:val="000000" w:themeColor="text1"/>
          <w:sz w:val="24"/>
          <w:szCs w:val="24"/>
          <w14:textFill>
            <w14:solidFill>
              <w14:schemeClr w14:val="tx1"/>
            </w14:solidFill>
          </w14:textFill>
        </w:rPr>
        <w:t>：权利人应自侵权行为发生之日起</w:t>
      </w:r>
      <w:r>
        <w:rPr>
          <w:rFonts w:hint="eastAsia" w:ascii="仿宋" w:hAnsi="仿宋" w:eastAsia="仿宋" w:cs="仿宋"/>
          <w:b/>
          <w:bCs/>
          <w:color w:val="000000" w:themeColor="text1"/>
          <w:sz w:val="24"/>
          <w:szCs w:val="24"/>
          <w14:textFill>
            <w14:solidFill>
              <w14:schemeClr w14:val="tx1"/>
            </w14:solidFill>
          </w14:textFill>
        </w:rPr>
        <w:t>两年内</w:t>
      </w:r>
      <w:r>
        <w:rPr>
          <w:rFonts w:hint="eastAsia" w:ascii="仿宋" w:hAnsi="仿宋" w:eastAsia="仿宋" w:cs="仿宋"/>
          <w:color w:val="000000" w:themeColor="text1"/>
          <w:sz w:val="24"/>
          <w:szCs w:val="24"/>
          <w14:textFill>
            <w14:solidFill>
              <w14:schemeClr w14:val="tx1"/>
            </w14:solidFill>
          </w14:textFill>
        </w:rPr>
        <w:t>提出。对于连续或持续的侵权行为，两年期限自侵权行为终止之日起计算。</w:t>
      </w:r>
    </w:p>
    <w:bookmarkEnd w:id="20"/>
    <w:p w14:paraId="714F60CB">
      <w:pPr>
        <w:pStyle w:val="5"/>
        <w:rPr>
          <w:rFonts w:hint="eastAsia" w:ascii="仿宋" w:hAnsi="仿宋" w:eastAsia="仿宋" w:cs="仿宋"/>
          <w:color w:val="000000" w:themeColor="text1"/>
          <w:sz w:val="24"/>
          <w:szCs w:val="24"/>
          <w14:textFill>
            <w14:solidFill>
              <w14:schemeClr w14:val="tx1"/>
            </w14:solidFill>
          </w14:textFill>
        </w:rPr>
      </w:pPr>
      <w:bookmarkStart w:id="21" w:name="二海关知识产权保护流程"/>
      <w:r>
        <w:rPr>
          <w:rFonts w:hint="eastAsia" w:ascii="仿宋" w:hAnsi="仿宋" w:eastAsia="仿宋" w:cs="仿宋"/>
          <w:color w:val="000000" w:themeColor="text1"/>
          <w:sz w:val="24"/>
          <w:szCs w:val="24"/>
          <w14:textFill>
            <w14:solidFill>
              <w14:schemeClr w14:val="tx1"/>
            </w14:solidFill>
          </w14:textFill>
        </w:rPr>
        <w:t>（二）海关知识产权保护流程</w:t>
      </w:r>
    </w:p>
    <w:p w14:paraId="0558A497">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海关保护是阻止侵权商品进出口的关键边境措施。</w:t>
      </w:r>
      <w:r>
        <w:rPr>
          <w:rFonts w:hint="eastAsia" w:ascii="仿宋" w:hAnsi="仿宋" w:eastAsia="仿宋" w:cs="仿宋"/>
          <w:b/>
          <w:bCs/>
          <w:color w:val="000000" w:themeColor="text1"/>
          <w:sz w:val="24"/>
          <w:szCs w:val="24"/>
          <w14:textFill>
            <w14:solidFill>
              <w14:schemeClr w14:val="tx1"/>
            </w14:solidFill>
          </w14:textFill>
        </w:rPr>
        <w:t>已在海关总署完成知识产权备案</w:t>
      </w:r>
      <w:r>
        <w:rPr>
          <w:rFonts w:hint="eastAsia" w:ascii="仿宋" w:hAnsi="仿宋" w:eastAsia="仿宋" w:cs="仿宋"/>
          <w:color w:val="000000" w:themeColor="text1"/>
          <w:sz w:val="24"/>
          <w:szCs w:val="24"/>
          <w14:textFill>
            <w14:solidFill>
              <w14:schemeClr w14:val="tx1"/>
            </w14:solidFill>
          </w14:textFill>
        </w:rPr>
        <w:t>的权利人将获得更主动、高效的保障。</w:t>
      </w:r>
    </w:p>
    <w:p w14:paraId="7525034C">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海关知识产权备案（前置程序）</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备案是海关依职权主动启动保护的前提，强烈建议完成。</w:t>
      </w:r>
    </w:p>
    <w:p w14:paraId="5FF183B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备案价值</w:t>
      </w:r>
      <w:r>
        <w:rPr>
          <w:rFonts w:hint="eastAsia" w:ascii="仿宋" w:hAnsi="仿宋" w:eastAsia="仿宋" w:cs="仿宋"/>
          <w:color w:val="000000" w:themeColor="text1"/>
          <w:sz w:val="24"/>
          <w:szCs w:val="24"/>
          <w14:textFill>
            <w14:solidFill>
              <w14:schemeClr w14:val="tx1"/>
            </w14:solidFill>
          </w14:textFill>
        </w:rPr>
        <w:t>：备案后，海关在各口岸监管中发现涉嫌侵权货物时，可</w:t>
      </w:r>
      <w:r>
        <w:rPr>
          <w:rFonts w:hint="eastAsia" w:ascii="仿宋" w:hAnsi="仿宋" w:eastAsia="仿宋" w:cs="仿宋"/>
          <w:b/>
          <w:bCs/>
          <w:color w:val="000000" w:themeColor="text1"/>
          <w:sz w:val="24"/>
          <w:szCs w:val="24"/>
          <w14:textFill>
            <w14:solidFill>
              <w14:schemeClr w14:val="tx1"/>
            </w14:solidFill>
          </w14:textFill>
        </w:rPr>
        <w:t>主动中止放行并通知权利人</w:t>
      </w:r>
      <w:r>
        <w:rPr>
          <w:rFonts w:hint="eastAsia" w:ascii="仿宋" w:hAnsi="仿宋" w:eastAsia="仿宋" w:cs="仿宋"/>
          <w:color w:val="000000" w:themeColor="text1"/>
          <w:sz w:val="24"/>
          <w:szCs w:val="24"/>
          <w14:textFill>
            <w14:solidFill>
              <w14:schemeClr w14:val="tx1"/>
            </w14:solidFill>
          </w14:textFill>
        </w:rPr>
        <w:t>，无需权利人逐票申请。</w:t>
      </w:r>
    </w:p>
    <w:p w14:paraId="33D79BD2">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申请方式</w:t>
      </w:r>
      <w:r>
        <w:rPr>
          <w:rFonts w:hint="eastAsia" w:ascii="仿宋" w:hAnsi="仿宋" w:eastAsia="仿宋" w:cs="仿宋"/>
          <w:color w:val="000000" w:themeColor="text1"/>
          <w:sz w:val="24"/>
          <w:szCs w:val="24"/>
          <w14:textFill>
            <w14:solidFill>
              <w14:schemeClr w14:val="tx1"/>
            </w14:solidFill>
          </w14:textFill>
        </w:rPr>
        <w:t>：通过</w:t>
      </w:r>
      <w:r>
        <w:rPr>
          <w:rFonts w:hint="eastAsia" w:ascii="仿宋" w:hAnsi="仿宋" w:eastAsia="仿宋" w:cs="仿宋"/>
          <w:b/>
          <w:bCs/>
          <w:color w:val="000000" w:themeColor="text1"/>
          <w:sz w:val="24"/>
          <w:szCs w:val="24"/>
          <w14:textFill>
            <w14:solidFill>
              <w14:schemeClr w14:val="tx1"/>
            </w14:solidFill>
          </w14:textFill>
        </w:rPr>
        <w:t>海关总署门户网站</w:t>
      </w:r>
      <w:r>
        <w:rPr>
          <w:rFonts w:hint="eastAsia" w:ascii="仿宋" w:hAnsi="仿宋" w:eastAsia="仿宋" w:cs="仿宋"/>
          <w:color w:val="000000" w:themeColor="text1"/>
          <w:sz w:val="24"/>
          <w:szCs w:val="24"/>
          <w14:textFill>
            <w14:solidFill>
              <w14:schemeClr w14:val="tx1"/>
            </w14:solidFill>
          </w14:textFill>
        </w:rPr>
        <w:t>（“互联网+海关”—知识产权备案模块）或直接访问</w:t>
      </w:r>
      <w:r>
        <w:rPr>
          <w:rFonts w:hint="eastAsia" w:ascii="仿宋" w:hAnsi="仿宋" w:eastAsia="仿宋" w:cs="仿宋"/>
          <w:b/>
          <w:bCs/>
          <w:color w:val="000000" w:themeColor="text1"/>
          <w:sz w:val="24"/>
          <w:szCs w:val="24"/>
          <w14:textFill>
            <w14:solidFill>
              <w14:schemeClr w14:val="tx1"/>
            </w14:solidFill>
          </w14:textFill>
        </w:rPr>
        <w:t>海关知识产权保护备案系统</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"http://202.127.48.145:8888/" \h </w:instrText>
      </w:r>
      <w:r>
        <w:rPr>
          <w:rFonts w:hint="eastAsia" w:ascii="仿宋" w:hAnsi="仿宋" w:eastAsia="仿宋" w:cs="仿宋"/>
          <w:color w:val="000000" w:themeColor="text1"/>
          <w:sz w:val="24"/>
          <w:szCs w:val="24"/>
          <w14:textFill>
            <w14:solidFill>
              <w14:schemeClr w14:val="tx1"/>
            </w14:solidFill>
          </w14:textFill>
        </w:rPr>
        <w:fldChar w:fldCharType="separate"/>
      </w:r>
      <w:r>
        <w:rPr>
          <w:rStyle w:val="22"/>
          <w:rFonts w:hint="eastAsia" w:ascii="仿宋" w:hAnsi="仿宋" w:eastAsia="仿宋" w:cs="仿宋"/>
          <w:color w:val="000000" w:themeColor="text1"/>
          <w:sz w:val="24"/>
          <w:szCs w:val="24"/>
          <w14:textFill>
            <w14:solidFill>
              <w14:schemeClr w14:val="tx1"/>
            </w14:solidFill>
          </w14:textFill>
        </w:rPr>
        <w:t>http://202.127.48.145:8888/</w:t>
      </w:r>
      <w:r>
        <w:rPr>
          <w:rStyle w:val="22"/>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）在线提交申请。</w:t>
      </w:r>
    </w:p>
    <w:p w14:paraId="0C3F3107">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备案内容</w:t>
      </w:r>
      <w:r>
        <w:rPr>
          <w:rFonts w:hint="eastAsia" w:ascii="仿宋" w:hAnsi="仿宋" w:eastAsia="仿宋" w:cs="仿宋"/>
          <w:color w:val="000000" w:themeColor="text1"/>
          <w:sz w:val="24"/>
          <w:szCs w:val="24"/>
          <w14:textFill>
            <w14:solidFill>
              <w14:schemeClr w14:val="tx1"/>
            </w14:solidFill>
          </w14:textFill>
        </w:rPr>
        <w:t>：需提供有效的知识产权权利信息、权利人身份证明、知识产权产品（作品）的清晰照片或样图等，以便海关识别。可添加合法被许可人信息，确保其货物通关顺畅。</w:t>
      </w:r>
    </w:p>
    <w:p w14:paraId="6BAC0A6F">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申请海关扣留侵权嫌疑货物</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当发现或获知涉嫌侵权的货物即将进出口时，权利人（无论是否备案）可向货物进出境地海关申请扣留。</w:t>
      </w:r>
    </w:p>
    <w:p w14:paraId="32FE25D0">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申请材料</w:t>
      </w:r>
      <w:r>
        <w:rPr>
          <w:rFonts w:hint="eastAsia" w:ascii="仿宋" w:hAnsi="仿宋" w:eastAsia="仿宋" w:cs="仿宋"/>
          <w:color w:val="000000" w:themeColor="text1"/>
          <w:sz w:val="24"/>
          <w:szCs w:val="24"/>
          <w14:textFill>
            <w14:solidFill>
              <w14:schemeClr w14:val="tx1"/>
            </w14:solidFill>
          </w14:textFill>
        </w:rPr>
        <w:t>：</w:t>
      </w:r>
    </w:p>
    <w:p w14:paraId="0C235183">
      <w:pPr>
        <w:pStyle w:val="26"/>
        <w:numPr>
          <w:ilvl w:val="1"/>
          <w:numId w:val="3"/>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权属证明</w:t>
      </w:r>
      <w:r>
        <w:rPr>
          <w:rFonts w:hint="eastAsia" w:ascii="仿宋" w:hAnsi="仿宋" w:eastAsia="仿宋" w:cs="仿宋"/>
          <w:color w:val="000000" w:themeColor="text1"/>
          <w:sz w:val="24"/>
          <w:szCs w:val="24"/>
          <w14:textFill>
            <w14:solidFill>
              <w14:schemeClr w14:val="tx1"/>
            </w14:solidFill>
          </w14:textFill>
        </w:rPr>
        <w:t>：如著作权登记证书等。</w:t>
      </w:r>
    </w:p>
    <w:p w14:paraId="6EEA5519">
      <w:pPr>
        <w:pStyle w:val="26"/>
        <w:numPr>
          <w:ilvl w:val="1"/>
          <w:numId w:val="3"/>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侵权证据</w:t>
      </w:r>
      <w:r>
        <w:rPr>
          <w:rFonts w:hint="eastAsia" w:ascii="仿宋" w:hAnsi="仿宋" w:eastAsia="仿宋" w:cs="仿宋"/>
          <w:color w:val="000000" w:themeColor="text1"/>
          <w:sz w:val="24"/>
          <w:szCs w:val="24"/>
          <w14:textFill>
            <w14:solidFill>
              <w14:schemeClr w14:val="tx1"/>
            </w14:solidFill>
          </w14:textFill>
        </w:rPr>
        <w:t>：能够初步证明侵权存在的证据。</w:t>
      </w:r>
    </w:p>
    <w:p w14:paraId="10743C3B">
      <w:pPr>
        <w:pStyle w:val="26"/>
        <w:numPr>
          <w:ilvl w:val="1"/>
          <w:numId w:val="3"/>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货物详细说明</w:t>
      </w:r>
      <w:r>
        <w:rPr>
          <w:rFonts w:hint="eastAsia" w:ascii="仿宋" w:hAnsi="仿宋" w:eastAsia="仿宋" w:cs="仿宋"/>
          <w:color w:val="000000" w:themeColor="text1"/>
          <w:sz w:val="24"/>
          <w:szCs w:val="24"/>
          <w14:textFill>
            <w14:solidFill>
              <w14:schemeClr w14:val="tx1"/>
            </w14:solidFill>
          </w14:textFill>
        </w:rPr>
        <w:t>：提供涉嫌侵权货物的品名、规格、型号、外观图片、预期进出口时间、口岸等</w:t>
      </w:r>
      <w:r>
        <w:rPr>
          <w:rFonts w:hint="eastAsia" w:ascii="仿宋" w:hAnsi="仿宋" w:eastAsia="仿宋" w:cs="仿宋"/>
          <w:b/>
          <w:bCs/>
          <w:color w:val="000000" w:themeColor="text1"/>
          <w:sz w:val="24"/>
          <w:szCs w:val="24"/>
          <w14:textFill>
            <w14:solidFill>
              <w14:schemeClr w14:val="tx1"/>
            </w14:solidFill>
          </w14:textFill>
        </w:rPr>
        <w:t>足够详细的信息</w:t>
      </w:r>
      <w:r>
        <w:rPr>
          <w:rFonts w:hint="eastAsia" w:ascii="仿宋" w:hAnsi="仿宋" w:eastAsia="仿宋" w:cs="仿宋"/>
          <w:color w:val="000000" w:themeColor="text1"/>
          <w:sz w:val="24"/>
          <w:szCs w:val="24"/>
          <w14:textFill>
            <w14:solidFill>
              <w14:schemeClr w14:val="tx1"/>
            </w14:solidFill>
          </w14:textFill>
        </w:rPr>
        <w:t>，以便海关识别。</w:t>
      </w:r>
    </w:p>
    <w:p w14:paraId="2BDBC0FD">
      <w:pPr>
        <w:pStyle w:val="26"/>
        <w:numPr>
          <w:ilvl w:val="1"/>
          <w:numId w:val="3"/>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担保</w:t>
      </w:r>
      <w:r>
        <w:rPr>
          <w:rFonts w:hint="eastAsia" w:ascii="仿宋" w:hAnsi="仿宋" w:eastAsia="仿宋" w:cs="仿宋"/>
          <w:color w:val="000000" w:themeColor="text1"/>
          <w:sz w:val="24"/>
          <w:szCs w:val="24"/>
          <w14:textFill>
            <w14:solidFill>
              <w14:schemeClr w14:val="tx1"/>
            </w14:solidFill>
          </w14:textFill>
        </w:rPr>
        <w:t>：海关</w:t>
      </w:r>
      <w:r>
        <w:rPr>
          <w:rFonts w:hint="eastAsia" w:ascii="仿宋" w:hAnsi="仿宋" w:eastAsia="仿宋" w:cs="仿宋"/>
          <w:b/>
          <w:bCs/>
          <w:color w:val="000000" w:themeColor="text1"/>
          <w:sz w:val="24"/>
          <w:szCs w:val="24"/>
          <w14:textFill>
            <w14:solidFill>
              <w14:schemeClr w14:val="tx1"/>
            </w14:solidFill>
          </w14:textFill>
        </w:rPr>
        <w:t>有权要求申请人提供相当于货物价值的保证金或担保</w:t>
      </w:r>
      <w:r>
        <w:rPr>
          <w:rFonts w:hint="eastAsia" w:ascii="仿宋" w:hAnsi="仿宋" w:eastAsia="仿宋" w:cs="仿宋"/>
          <w:color w:val="000000" w:themeColor="text1"/>
          <w:sz w:val="24"/>
          <w:szCs w:val="24"/>
          <w14:textFill>
            <w14:solidFill>
              <w14:schemeClr w14:val="tx1"/>
            </w14:solidFill>
          </w14:textFill>
        </w:rPr>
        <w:t>，以防范错误申请的风险。担保不应不合理地妨碍程序的采用。</w:t>
      </w:r>
    </w:p>
    <w:p w14:paraId="43AD2D50">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海关处理</w:t>
      </w:r>
      <w:r>
        <w:rPr>
          <w:rFonts w:hint="eastAsia" w:ascii="仿宋" w:hAnsi="仿宋" w:eastAsia="仿宋" w:cs="仿宋"/>
          <w:color w:val="000000" w:themeColor="text1"/>
          <w:sz w:val="24"/>
          <w:szCs w:val="24"/>
          <w14:textFill>
            <w14:solidFill>
              <w14:schemeClr w14:val="tx1"/>
            </w14:solidFill>
          </w14:textFill>
        </w:rPr>
        <w:t>：海关受理申请并进行形式审查后，若认为符合规定，会作出中止放行（扣留）决定，并立即通知</w:t>
      </w:r>
      <w:r>
        <w:rPr>
          <w:rFonts w:hint="eastAsia" w:ascii="仿宋" w:hAnsi="仿宋" w:eastAsia="仿宋" w:cs="仿宋"/>
          <w:b/>
          <w:bCs/>
          <w:color w:val="000000" w:themeColor="text1"/>
          <w:sz w:val="24"/>
          <w:szCs w:val="24"/>
          <w14:textFill>
            <w14:solidFill>
              <w14:schemeClr w14:val="tx1"/>
            </w14:solidFill>
          </w14:textFill>
        </w:rPr>
        <w:t>进口人（收货人）</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和</w:t>
      </w:r>
      <w:r>
        <w:rPr>
          <w:rFonts w:hint="eastAsia" w:ascii="仿宋" w:hAnsi="仿宋" w:eastAsia="仿宋" w:cs="仿宋"/>
          <w:b/>
          <w:bCs/>
          <w:color w:val="000000" w:themeColor="text1"/>
          <w:sz w:val="24"/>
          <w:szCs w:val="24"/>
          <w14:textFill>
            <w14:solidFill>
              <w14:schemeClr w14:val="tx1"/>
            </w14:solidFill>
          </w14:textFill>
        </w:rPr>
        <w:t>申请人（权利人）</w:t>
      </w:r>
      <w:r>
        <w:rPr>
          <w:rFonts w:hint="eastAsia" w:ascii="仿宋" w:hAnsi="仿宋" w:eastAsia="仿宋" w:cs="仿宋"/>
          <w:color w:val="000000" w:themeColor="text1"/>
          <w:sz w:val="24"/>
          <w:szCs w:val="24"/>
          <w14:textFill>
            <w14:solidFill>
              <w14:schemeClr w14:val="tx1"/>
            </w14:solidFill>
          </w14:textFill>
        </w:rPr>
        <w:t>。</w:t>
      </w:r>
    </w:p>
    <w:p w14:paraId="61B90A0B">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 </w:t>
      </w:r>
      <w:r>
        <w:rPr>
          <w:rFonts w:hint="eastAsia" w:ascii="仿宋" w:hAnsi="仿宋" w:eastAsia="仿宋" w:cs="仿宋"/>
          <w:b/>
          <w:bCs/>
          <w:color w:val="000000" w:themeColor="text1"/>
          <w:sz w:val="24"/>
          <w:szCs w:val="24"/>
          <w14:textFill>
            <w14:solidFill>
              <w14:schemeClr w14:val="tx1"/>
            </w14:solidFill>
          </w14:textFill>
        </w:rPr>
        <w:t>扣留后的调查与处理程序</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海关扣留货物后，将启动调查程序，权利人必须密切关注并采取后续行动。</w:t>
      </w:r>
    </w:p>
    <w:p w14:paraId="4EFBC69B">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调查与确权期</w:t>
      </w:r>
      <w:r>
        <w:rPr>
          <w:rFonts w:hint="eastAsia" w:ascii="仿宋" w:hAnsi="仿宋" w:eastAsia="仿宋" w:cs="仿宋"/>
          <w:color w:val="000000" w:themeColor="text1"/>
          <w:sz w:val="24"/>
          <w:szCs w:val="24"/>
          <w14:textFill>
            <w14:solidFill>
              <w14:schemeClr w14:val="tx1"/>
            </w14:solidFill>
          </w14:textFill>
        </w:rPr>
        <w:t>：这是一个</w:t>
      </w:r>
      <w:r>
        <w:rPr>
          <w:rFonts w:hint="eastAsia" w:ascii="仿宋" w:hAnsi="仿宋" w:eastAsia="仿宋" w:cs="仿宋"/>
          <w:b/>
          <w:bCs/>
          <w:color w:val="000000" w:themeColor="text1"/>
          <w:sz w:val="24"/>
          <w:szCs w:val="24"/>
          <w14:textFill>
            <w14:solidFill>
              <w14:schemeClr w14:val="tx1"/>
            </w14:solidFill>
          </w14:textFill>
        </w:rPr>
        <w:t>关键法定时限</w:t>
      </w:r>
      <w:r>
        <w:rPr>
          <w:rFonts w:hint="eastAsia" w:ascii="仿宋" w:hAnsi="仿宋" w:eastAsia="仿宋" w:cs="仿宋"/>
          <w:color w:val="000000" w:themeColor="text1"/>
          <w:sz w:val="24"/>
          <w:szCs w:val="24"/>
          <w14:textFill>
            <w14:solidFill>
              <w14:schemeClr w14:val="tx1"/>
            </w14:solidFill>
          </w14:textFill>
        </w:rPr>
        <w:t>。根据国际通行规则（如TRIPS协议），海关扣留后，通常有</w:t>
      </w:r>
      <w:r>
        <w:rPr>
          <w:rFonts w:hint="eastAsia" w:ascii="仿宋" w:hAnsi="仿宋" w:eastAsia="仿宋" w:cs="仿宋"/>
          <w:b/>
          <w:bCs/>
          <w:color w:val="000000" w:themeColor="text1"/>
          <w:sz w:val="24"/>
          <w:szCs w:val="24"/>
          <w14:textFill>
            <w14:solidFill>
              <w14:schemeClr w14:val="tx1"/>
            </w14:solidFill>
          </w14:textFill>
        </w:rPr>
        <w:t>不超过10个工作日</w:t>
      </w:r>
      <w:r>
        <w:rPr>
          <w:rFonts w:hint="eastAsia" w:ascii="仿宋" w:hAnsi="仿宋" w:eastAsia="仿宋" w:cs="仿宋"/>
          <w:color w:val="000000" w:themeColor="text1"/>
          <w:sz w:val="24"/>
          <w:szCs w:val="24"/>
          <w14:textFill>
            <w14:solidFill>
              <w14:schemeClr w14:val="tx1"/>
            </w14:solidFill>
          </w14:textFill>
        </w:rPr>
        <w:t>（特殊情况下可再延长10个工作日）的调查期。</w:t>
      </w:r>
    </w:p>
    <w:p w14:paraId="3B904A47">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权利人的后续行动（必须在上述期限内完成）</w:t>
      </w:r>
      <w:r>
        <w:rPr>
          <w:rFonts w:hint="eastAsia" w:ascii="仿宋" w:hAnsi="仿宋" w:eastAsia="仿宋" w:cs="仿宋"/>
          <w:color w:val="000000" w:themeColor="text1"/>
          <w:sz w:val="24"/>
          <w:szCs w:val="24"/>
          <w14:textFill>
            <w14:solidFill>
              <w14:schemeClr w14:val="tx1"/>
            </w14:solidFill>
          </w14:textFill>
        </w:rPr>
        <w:t>：</w:t>
      </w:r>
    </w:p>
    <w:p w14:paraId="6A6664DE">
      <w:pPr>
        <w:pStyle w:val="26"/>
        <w:numPr>
          <w:ilvl w:val="1"/>
          <w:numId w:val="4"/>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确认侵权并提交证据</w:t>
      </w:r>
      <w:r>
        <w:rPr>
          <w:rFonts w:hint="eastAsia" w:ascii="仿宋" w:hAnsi="仿宋" w:eastAsia="仿宋" w:cs="仿宋"/>
          <w:color w:val="000000" w:themeColor="text1"/>
          <w:sz w:val="24"/>
          <w:szCs w:val="24"/>
          <w14:textFill>
            <w14:solidFill>
              <w14:schemeClr w14:val="tx1"/>
            </w14:solidFill>
          </w14:textFill>
        </w:rPr>
        <w:t>：权利人需及时确认扣留货物是否侵权，并向海关提交更有力的侵权鉴定或比对报告。</w:t>
      </w:r>
    </w:p>
    <w:p w14:paraId="06DACC3D">
      <w:pPr>
        <w:pStyle w:val="26"/>
        <w:numPr>
          <w:ilvl w:val="1"/>
          <w:numId w:val="4"/>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启动司法程序</w:t>
      </w:r>
      <w:r>
        <w:rPr>
          <w:rFonts w:hint="eastAsia" w:ascii="仿宋" w:hAnsi="仿宋" w:eastAsia="仿宋" w:cs="仿宋"/>
          <w:color w:val="000000" w:themeColor="text1"/>
          <w:sz w:val="24"/>
          <w:szCs w:val="24"/>
          <w14:textFill>
            <w14:solidFill>
              <w14:schemeClr w14:val="tx1"/>
            </w14:solidFill>
          </w14:textFill>
        </w:rPr>
        <w:t>：权利人必须在海关规定的期限内（通常较短，如扣留通知后10个工作日左右），就案件实质性问题向人民法院</w:t>
      </w:r>
      <w:r>
        <w:rPr>
          <w:rFonts w:hint="eastAsia" w:ascii="仿宋" w:hAnsi="仿宋" w:eastAsia="仿宋" w:cs="仿宋"/>
          <w:b/>
          <w:bCs/>
          <w:color w:val="000000" w:themeColor="text1"/>
          <w:sz w:val="24"/>
          <w:szCs w:val="24"/>
          <w14:textFill>
            <w14:solidFill>
              <w14:schemeClr w14:val="tx1"/>
            </w14:solidFill>
          </w14:textFill>
        </w:rPr>
        <w:t>提起侵权诉讼</w:t>
      </w:r>
      <w:r>
        <w:rPr>
          <w:rFonts w:hint="eastAsia" w:ascii="仿宋" w:hAnsi="仿宋" w:eastAsia="仿宋" w:cs="仿宋"/>
          <w:color w:val="000000" w:themeColor="text1"/>
          <w:sz w:val="24"/>
          <w:szCs w:val="24"/>
          <w14:textFill>
            <w14:solidFill>
              <w14:schemeClr w14:val="tx1"/>
            </w14:solidFill>
          </w14:textFill>
        </w:rPr>
        <w:t>或申请诉前责令停止侵权、财产保全等临时措施。</w:t>
      </w:r>
    </w:p>
    <w:p w14:paraId="73B19DD1">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海关处理结果</w:t>
      </w:r>
      <w:r>
        <w:rPr>
          <w:rFonts w:hint="eastAsia" w:ascii="仿宋" w:hAnsi="仿宋" w:eastAsia="仿宋" w:cs="仿宋"/>
          <w:color w:val="000000" w:themeColor="text1"/>
          <w:sz w:val="24"/>
          <w:szCs w:val="24"/>
          <w14:textFill>
            <w14:solidFill>
              <w14:schemeClr w14:val="tx1"/>
            </w14:solidFill>
          </w14:textFill>
        </w:rPr>
        <w:t>：</w:t>
      </w:r>
    </w:p>
    <w:p w14:paraId="09C6E87A">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认定侵权</w:t>
      </w:r>
      <w:r>
        <w:rPr>
          <w:rFonts w:hint="eastAsia" w:ascii="仿宋" w:hAnsi="仿宋" w:eastAsia="仿宋" w:cs="仿宋"/>
          <w:color w:val="000000" w:themeColor="text1"/>
          <w:sz w:val="24"/>
          <w:szCs w:val="24"/>
          <w14:textFill>
            <w14:solidFill>
              <w14:schemeClr w14:val="tx1"/>
            </w14:solidFill>
          </w14:textFill>
        </w:rPr>
        <w:t>：若调查后认定为侵权，海关将依法作出行政处罚决定，包括</w:t>
      </w:r>
      <w:r>
        <w:rPr>
          <w:rFonts w:hint="eastAsia" w:ascii="仿宋" w:hAnsi="仿宋" w:eastAsia="仿宋" w:cs="仿宋"/>
          <w:b/>
          <w:bCs/>
          <w:color w:val="000000" w:themeColor="text1"/>
          <w:sz w:val="24"/>
          <w:szCs w:val="24"/>
          <w14:textFill>
            <w14:solidFill>
              <w14:schemeClr w14:val="tx1"/>
            </w14:solidFill>
          </w14:textFill>
        </w:rPr>
        <w:t>没收侵权货物、处以罚款</w:t>
      </w:r>
      <w:r>
        <w:rPr>
          <w:rFonts w:hint="eastAsia" w:ascii="仿宋" w:hAnsi="仿宋" w:eastAsia="仿宋" w:cs="仿宋"/>
          <w:color w:val="000000" w:themeColor="text1"/>
          <w:sz w:val="24"/>
          <w:szCs w:val="24"/>
          <w14:textFill>
            <w14:solidFill>
              <w14:schemeClr w14:val="tx1"/>
            </w14:solidFill>
          </w14:textFill>
        </w:rPr>
        <w:t>，并可销毁侵权货物。涉嫌构成犯罪的，将移送公安机关。</w:t>
      </w:r>
    </w:p>
    <w:p w14:paraId="4629C62E">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放行货物</w:t>
      </w:r>
      <w:r>
        <w:rPr>
          <w:rFonts w:hint="eastAsia" w:ascii="仿宋" w:hAnsi="仿宋" w:eastAsia="仿宋" w:cs="仿宋"/>
          <w:color w:val="000000" w:themeColor="text1"/>
          <w:sz w:val="24"/>
          <w:szCs w:val="24"/>
          <w14:textFill>
            <w14:solidFill>
              <w14:schemeClr w14:val="tx1"/>
            </w14:solidFill>
          </w14:textFill>
        </w:rPr>
        <w:t>：若出现以下情形，海关将在期限届满后放行货物：</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a) </w:t>
      </w:r>
      <w:r>
        <w:rPr>
          <w:rFonts w:hint="eastAsia" w:ascii="仿宋" w:hAnsi="仿宋" w:eastAsia="仿宋" w:cs="仿宋"/>
          <w:color w:val="000000" w:themeColor="text1"/>
          <w:sz w:val="24"/>
          <w:szCs w:val="24"/>
          <w14:textFill>
            <w14:solidFill>
              <w14:schemeClr w14:val="tx1"/>
            </w14:solidFill>
          </w14:textFill>
        </w:rPr>
        <w:t>海关调查后无法认定侵权；</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b) </w:t>
      </w:r>
      <w:r>
        <w:rPr>
          <w:rFonts w:hint="eastAsia" w:ascii="仿宋" w:hAnsi="仿宋" w:eastAsia="仿宋" w:cs="仿宋"/>
          <w:color w:val="000000" w:themeColor="text1"/>
          <w:sz w:val="24"/>
          <w:szCs w:val="24"/>
          <w14:textFill>
            <w14:solidFill>
              <w14:schemeClr w14:val="tx1"/>
            </w14:solidFill>
          </w14:textFill>
        </w:rPr>
        <w:t>权利人未在规定期限内向人民法院提起诉讼或申请临时措施；</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 xml:space="preserve">c) </w:t>
      </w:r>
      <w:r>
        <w:rPr>
          <w:rFonts w:hint="eastAsia" w:ascii="仿宋" w:hAnsi="仿宋" w:eastAsia="仿宋" w:cs="仿宋"/>
          <w:color w:val="000000" w:themeColor="text1"/>
          <w:sz w:val="24"/>
          <w:szCs w:val="24"/>
          <w14:textFill>
            <w14:solidFill>
              <w14:schemeClr w14:val="tx1"/>
            </w14:solidFill>
          </w14:textFill>
        </w:rPr>
        <w:t>人民法院或知识产权行政部门认定不构成侵权。</w:t>
      </w:r>
    </w:p>
    <w:p w14:paraId="05C44EC8">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4. </w:t>
      </w:r>
      <w:r>
        <w:rPr>
          <w:rFonts w:hint="eastAsia" w:ascii="仿宋" w:hAnsi="仿宋" w:eastAsia="仿宋" w:cs="仿宋"/>
          <w:b/>
          <w:bCs/>
          <w:color w:val="000000" w:themeColor="text1"/>
          <w:sz w:val="24"/>
          <w:szCs w:val="24"/>
          <w14:textFill>
            <w14:solidFill>
              <w14:schemeClr w14:val="tx1"/>
            </w14:solidFill>
          </w14:textFill>
        </w:rPr>
        <w:t>重要注意事项</w:t>
      </w:r>
    </w:p>
    <w:p w14:paraId="5CE38C6F">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审慎申请义务</w:t>
      </w:r>
      <w:r>
        <w:rPr>
          <w:rFonts w:hint="eastAsia" w:ascii="仿宋" w:hAnsi="仿宋" w:eastAsia="仿宋" w:cs="仿宋"/>
          <w:color w:val="000000" w:themeColor="text1"/>
          <w:sz w:val="24"/>
          <w:szCs w:val="24"/>
          <w14:textFill>
            <w14:solidFill>
              <w14:schemeClr w14:val="tx1"/>
            </w14:solidFill>
          </w14:textFill>
        </w:rPr>
        <w:t>：权利人申请扣留应基于合理怀疑。若最终被认定为</w:t>
      </w:r>
      <w:r>
        <w:rPr>
          <w:rFonts w:hint="eastAsia" w:ascii="仿宋" w:hAnsi="仿宋" w:eastAsia="仿宋" w:cs="仿宋"/>
          <w:b/>
          <w:bCs/>
          <w:color w:val="000000" w:themeColor="text1"/>
          <w:sz w:val="24"/>
          <w:szCs w:val="24"/>
          <w14:textFill>
            <w14:solidFill>
              <w14:schemeClr w14:val="tx1"/>
            </w14:solidFill>
          </w14:textFill>
        </w:rPr>
        <w:t>不当申请</w:t>
      </w:r>
      <w:r>
        <w:rPr>
          <w:rFonts w:hint="eastAsia" w:ascii="仿宋" w:hAnsi="仿宋" w:eastAsia="仿宋" w:cs="仿宋"/>
          <w:color w:val="000000" w:themeColor="text1"/>
          <w:sz w:val="24"/>
          <w:szCs w:val="24"/>
          <w14:textFill>
            <w14:solidFill>
              <w14:schemeClr w14:val="tx1"/>
            </w14:solidFill>
          </w14:textFill>
        </w:rPr>
        <w:t>（如侵权不成立），权利人</w:t>
      </w:r>
      <w:r>
        <w:rPr>
          <w:rFonts w:hint="eastAsia" w:ascii="仿宋" w:hAnsi="仿宋" w:eastAsia="仿宋" w:cs="仿宋"/>
          <w:b/>
          <w:bCs/>
          <w:color w:val="000000" w:themeColor="text1"/>
          <w:sz w:val="24"/>
          <w:szCs w:val="24"/>
          <w14:textFill>
            <w14:solidFill>
              <w14:schemeClr w14:val="tx1"/>
            </w14:solidFill>
          </w14:textFill>
        </w:rPr>
        <w:t>可能需赔偿被扣留方因此遭受的直接损失</w:t>
      </w:r>
      <w:r>
        <w:rPr>
          <w:rFonts w:hint="eastAsia" w:ascii="仿宋" w:hAnsi="仿宋" w:eastAsia="仿宋" w:cs="仿宋"/>
          <w:color w:val="000000" w:themeColor="text1"/>
          <w:sz w:val="24"/>
          <w:szCs w:val="24"/>
          <w14:textFill>
            <w14:solidFill>
              <w14:schemeClr w14:val="tx1"/>
            </w14:solidFill>
          </w14:textFill>
        </w:rPr>
        <w:t>，如滞期费、仓储费等。</w:t>
      </w:r>
    </w:p>
    <w:p w14:paraId="702CA58D">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被申请人的权利</w:t>
      </w:r>
      <w:r>
        <w:rPr>
          <w:rFonts w:hint="eastAsia" w:ascii="仿宋" w:hAnsi="仿宋" w:eastAsia="仿宋" w:cs="仿宋"/>
          <w:color w:val="000000" w:themeColor="text1"/>
          <w:sz w:val="24"/>
          <w:szCs w:val="24"/>
          <w14:textFill>
            <w14:solidFill>
              <w14:schemeClr w14:val="tx1"/>
            </w14:solidFill>
          </w14:textFill>
        </w:rPr>
        <w:t>：进口人有权提交未侵权证据（如合法授权证明）进行申诉，要求解除扣留。</w:t>
      </w:r>
    </w:p>
    <w:p w14:paraId="51A33D36">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行民衔接</w:t>
      </w:r>
      <w:r>
        <w:rPr>
          <w:rFonts w:hint="eastAsia" w:ascii="仿宋" w:hAnsi="仿宋" w:eastAsia="仿宋" w:cs="仿宋"/>
          <w:color w:val="000000" w:themeColor="text1"/>
          <w:sz w:val="24"/>
          <w:szCs w:val="24"/>
          <w14:textFill>
            <w14:solidFill>
              <w14:schemeClr w14:val="tx1"/>
            </w14:solidFill>
          </w14:textFill>
        </w:rPr>
        <w:t>：海关程序与司法诉讼紧密衔接。海关扣留为诉讼赢得了时间和证据优势，而诉讼结果是海关最终处置货物的决定性依据。</w:t>
      </w:r>
    </w:p>
    <w:p w14:paraId="4673840F">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总结而言，行政投诉与海关保护是两条高效、直接的维权路径。</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行政投诉侧重于清除境内的公开侵权行为，而海关保护则扼守国门，阻截侵权商品的跨境流通。权利人应充分利用前置取证成果，根据侵权发生的具体场景（境内销售/生产</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进出口环节），选择启动相应程序，或双线并行，以最大化维权效果。</w:t>
      </w:r>
    </w:p>
    <w:bookmarkEnd w:id="19"/>
    <w:bookmarkEnd w:id="21"/>
    <w:p w14:paraId="00882C61">
      <w:pPr>
        <w:pStyle w:val="4"/>
        <w:rPr>
          <w:rFonts w:hint="eastAsia" w:ascii="仿宋" w:hAnsi="仿宋" w:eastAsia="仿宋" w:cs="仿宋"/>
          <w:color w:val="000000" w:themeColor="text1"/>
          <w:sz w:val="24"/>
          <w:szCs w:val="24"/>
          <w14:textFill>
            <w14:solidFill>
              <w14:schemeClr w14:val="tx1"/>
            </w14:solidFill>
          </w14:textFill>
        </w:rPr>
      </w:pPr>
      <w:bookmarkStart w:id="22" w:name="四涉外著作权司法诉讼的完整流程与策略"/>
      <w:r>
        <w:rPr>
          <w:rFonts w:hint="eastAsia" w:ascii="仿宋" w:hAnsi="仿宋" w:eastAsia="仿宋" w:cs="仿宋"/>
          <w:color w:val="000000" w:themeColor="text1"/>
          <w:sz w:val="24"/>
          <w:szCs w:val="24"/>
          <w14:textFill>
            <w14:solidFill>
              <w14:schemeClr w14:val="tx1"/>
            </w14:solidFill>
          </w14:textFill>
        </w:rPr>
        <w:t>四、涉外著作权司法诉讼的完整流程与策略</w:t>
      </w:r>
    </w:p>
    <w:p w14:paraId="4ACC45C9">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完成侵权行为的发现、证据固定，并可能已启动行政投诉或海关保护程序后，若需通过司法途径彻底制止侵权并获得赔偿，权利人即需在中国法院提起民事诉讼。本部分将系统阐述涉外著作权侵权诉讼的完整流程与核心策略。</w:t>
      </w:r>
    </w:p>
    <w:p w14:paraId="170DAD08">
      <w:pPr>
        <w:pStyle w:val="5"/>
        <w:rPr>
          <w:rFonts w:hint="eastAsia" w:ascii="仿宋" w:hAnsi="仿宋" w:eastAsia="仿宋" w:cs="仿宋"/>
          <w:color w:val="000000" w:themeColor="text1"/>
          <w:sz w:val="24"/>
          <w:szCs w:val="24"/>
          <w14:textFill>
            <w14:solidFill>
              <w14:schemeClr w14:val="tx1"/>
            </w14:solidFill>
          </w14:textFill>
        </w:rPr>
      </w:pPr>
      <w:bookmarkStart w:id="23" w:name="一-确定管辖法院选择最有利的战场"/>
      <w:r>
        <w:rPr>
          <w:rFonts w:hint="eastAsia" w:ascii="仿宋" w:hAnsi="仿宋" w:eastAsia="仿宋" w:cs="仿宋"/>
          <w:b/>
          <w:bCs/>
          <w:color w:val="000000" w:themeColor="text1"/>
          <w:sz w:val="24"/>
          <w:szCs w:val="24"/>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确定管辖法院：选择最有利的“战场”</w:t>
      </w:r>
    </w:p>
    <w:p w14:paraId="36500DA3">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提起诉讼的第一步是确定具有管辖权的中国法院。这需要综合考量地域管辖、级别管辖及专属管辖规则。</w:t>
      </w:r>
    </w:p>
    <w:p w14:paraId="471F1812">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地域管辖：连接点的选择</w:t>
      </w:r>
    </w:p>
    <w:p w14:paraId="6C87D0D0">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一般原则</w:t>
      </w:r>
      <w:r>
        <w:rPr>
          <w:rFonts w:hint="eastAsia" w:ascii="仿宋" w:hAnsi="仿宋" w:eastAsia="仿宋" w:cs="仿宋"/>
          <w:color w:val="000000" w:themeColor="text1"/>
          <w:sz w:val="24"/>
          <w:szCs w:val="24"/>
          <w14:textFill>
            <w14:solidFill>
              <w14:schemeClr w14:val="tx1"/>
            </w14:solidFill>
          </w14:textFill>
        </w:rPr>
        <w:t>：涉外著作权侵权案件可由</w:t>
      </w:r>
      <w:r>
        <w:rPr>
          <w:rFonts w:hint="eastAsia" w:ascii="仿宋" w:hAnsi="仿宋" w:eastAsia="仿宋" w:cs="仿宋"/>
          <w:b/>
          <w:bCs/>
          <w:color w:val="000000" w:themeColor="text1"/>
          <w:sz w:val="24"/>
          <w:szCs w:val="24"/>
          <w14:textFill>
            <w14:solidFill>
              <w14:schemeClr w14:val="tx1"/>
            </w14:solidFill>
          </w14:textFill>
        </w:rPr>
        <w:t>侵权行为地</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b/>
          <w:bCs/>
          <w:color w:val="000000" w:themeColor="text1"/>
          <w:sz w:val="24"/>
          <w:szCs w:val="24"/>
          <w14:textFill>
            <w14:solidFill>
              <w14:schemeClr w14:val="tx1"/>
            </w14:solidFill>
          </w14:textFill>
        </w:rPr>
        <w:t>被告住所地</w:t>
      </w:r>
      <w:r>
        <w:rPr>
          <w:rFonts w:hint="eastAsia" w:ascii="仿宋" w:hAnsi="仿宋" w:eastAsia="仿宋" w:cs="仿宋"/>
          <w:color w:val="000000" w:themeColor="text1"/>
          <w:sz w:val="24"/>
          <w:szCs w:val="24"/>
          <w14:textFill>
            <w14:solidFill>
              <w14:schemeClr w14:val="tx1"/>
            </w14:solidFill>
          </w14:textFill>
        </w:rPr>
        <w:t>人民法院管辖。</w:t>
      </w:r>
    </w:p>
    <w:p w14:paraId="18C6A34A">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侵权行为地</w:t>
      </w:r>
      <w:r>
        <w:rPr>
          <w:rFonts w:hint="eastAsia" w:ascii="仿宋" w:hAnsi="仿宋" w:eastAsia="仿宋" w:cs="仿宋"/>
          <w:color w:val="000000" w:themeColor="text1"/>
          <w:sz w:val="24"/>
          <w:szCs w:val="24"/>
          <w14:textFill>
            <w14:solidFill>
              <w14:schemeClr w14:val="tx1"/>
            </w14:solidFill>
          </w14:textFill>
        </w:rPr>
        <w:t>：包括</w:t>
      </w:r>
      <w:r>
        <w:rPr>
          <w:rFonts w:hint="eastAsia" w:ascii="仿宋" w:hAnsi="仿宋" w:eastAsia="仿宋" w:cs="仿宋"/>
          <w:b/>
          <w:bCs/>
          <w:color w:val="000000" w:themeColor="text1"/>
          <w:sz w:val="24"/>
          <w:szCs w:val="24"/>
          <w14:textFill>
            <w14:solidFill>
              <w14:schemeClr w14:val="tx1"/>
            </w14:solidFill>
          </w14:textFill>
        </w:rPr>
        <w:t>侵权行为实施地</w:t>
      </w:r>
      <w:r>
        <w:rPr>
          <w:rFonts w:hint="eastAsia" w:ascii="仿宋" w:hAnsi="仿宋" w:eastAsia="仿宋" w:cs="仿宋"/>
          <w:color w:val="000000" w:themeColor="text1"/>
          <w:sz w:val="24"/>
          <w:szCs w:val="24"/>
          <w14:textFill>
            <w14:solidFill>
              <w14:schemeClr w14:val="tx1"/>
            </w14:solidFill>
          </w14:textFill>
        </w:rPr>
        <w:t>（如服务器所在地、复制行为发生地）和</w:t>
      </w:r>
      <w:r>
        <w:rPr>
          <w:rFonts w:hint="eastAsia" w:ascii="仿宋" w:hAnsi="仿宋" w:eastAsia="仿宋" w:cs="仿宋"/>
          <w:b/>
          <w:bCs/>
          <w:color w:val="000000" w:themeColor="text1"/>
          <w:sz w:val="24"/>
          <w:szCs w:val="24"/>
          <w14:textFill>
            <w14:solidFill>
              <w14:schemeClr w14:val="tx1"/>
            </w14:solidFill>
          </w14:textFill>
        </w:rPr>
        <w:t>侵权结果发生地</w:t>
      </w:r>
      <w:r>
        <w:rPr>
          <w:rFonts w:hint="eastAsia" w:ascii="仿宋" w:hAnsi="仿宋" w:eastAsia="仿宋" w:cs="仿宋"/>
          <w:color w:val="000000" w:themeColor="text1"/>
          <w:sz w:val="24"/>
          <w:szCs w:val="24"/>
          <w14:textFill>
            <w14:solidFill>
              <w14:schemeClr w14:val="tx1"/>
            </w14:solidFill>
          </w14:textFill>
        </w:rPr>
        <w:t>。对于网络侵权行为，</w:t>
      </w:r>
      <w:r>
        <w:rPr>
          <w:rFonts w:hint="eastAsia" w:ascii="仿宋" w:hAnsi="仿宋" w:eastAsia="仿宋" w:cs="仿宋"/>
          <w:b/>
          <w:bCs/>
          <w:color w:val="000000" w:themeColor="text1"/>
          <w:sz w:val="24"/>
          <w:szCs w:val="24"/>
          <w14:textFill>
            <w14:solidFill>
              <w14:schemeClr w14:val="tx1"/>
            </w14:solidFill>
          </w14:textFill>
        </w:rPr>
        <w:t>被侵权人（原告）住所地</w:t>
      </w:r>
      <w:r>
        <w:rPr>
          <w:rFonts w:hint="eastAsia" w:ascii="仿宋" w:hAnsi="仿宋" w:eastAsia="仿宋" w:cs="仿宋"/>
          <w:color w:val="000000" w:themeColor="text1"/>
          <w:sz w:val="24"/>
          <w:szCs w:val="24"/>
          <w14:textFill>
            <w14:solidFill>
              <w14:schemeClr w14:val="tx1"/>
            </w14:solidFill>
          </w14:textFill>
        </w:rPr>
        <w:t>在特定情况下（如难以确定侵权行为实施地和被告住所地时）可能被视为侵权结果发生地。</w:t>
      </w:r>
    </w:p>
    <w:p w14:paraId="0B234011">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管辖权策略</w:t>
      </w:r>
      <w:r>
        <w:rPr>
          <w:rFonts w:hint="eastAsia" w:ascii="仿宋" w:hAnsi="仿宋" w:eastAsia="仿宋" w:cs="仿宋"/>
          <w:color w:val="000000" w:themeColor="text1"/>
          <w:sz w:val="24"/>
          <w:szCs w:val="24"/>
          <w14:textFill>
            <w14:solidFill>
              <w14:schemeClr w14:val="tx1"/>
            </w14:solidFill>
          </w14:textFill>
        </w:rPr>
        <w:t>：</w:t>
      </w:r>
    </w:p>
    <w:p w14:paraId="7F6FDFD3">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选择权</w:t>
      </w:r>
      <w:r>
        <w:rPr>
          <w:rFonts w:hint="eastAsia" w:ascii="仿宋" w:hAnsi="仿宋" w:eastAsia="仿宋" w:cs="仿宋"/>
          <w:color w:val="000000" w:themeColor="text1"/>
          <w:sz w:val="24"/>
          <w:szCs w:val="24"/>
          <w14:textFill>
            <w14:solidFill>
              <w14:schemeClr w14:val="tx1"/>
            </w14:solidFill>
          </w14:textFill>
        </w:rPr>
        <w:t>：当存在多个被告或侵权行为涉及不同地点时，原告可以选择其中一个被告的侵权行为实施地法院起诉，这为原告提供了选择有利管辖法院的空间。</w:t>
      </w:r>
    </w:p>
    <w:p w14:paraId="409D89AA">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避免的管辖连接点</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网络购物收货地</w:t>
      </w:r>
      <w:r>
        <w:rPr>
          <w:rFonts w:hint="eastAsia" w:ascii="仿宋" w:hAnsi="仿宋" w:eastAsia="仿宋" w:cs="仿宋"/>
          <w:color w:val="000000" w:themeColor="text1"/>
          <w:sz w:val="24"/>
          <w:szCs w:val="24"/>
          <w14:textFill>
            <w14:solidFill>
              <w14:schemeClr w14:val="tx1"/>
            </w14:solidFill>
          </w14:textFill>
        </w:rPr>
        <w:t>通常不能单独作为确定侵权行为地的依据。此外，若销售行为</w:t>
      </w:r>
      <w:r>
        <w:rPr>
          <w:rFonts w:hint="eastAsia" w:ascii="仿宋" w:hAnsi="仿宋" w:eastAsia="仿宋" w:cs="仿宋"/>
          <w:b/>
          <w:bCs/>
          <w:color w:val="000000" w:themeColor="text1"/>
          <w:sz w:val="24"/>
          <w:szCs w:val="24"/>
          <w14:textFill>
            <w14:solidFill>
              <w14:schemeClr w14:val="tx1"/>
            </w14:solidFill>
          </w14:textFill>
        </w:rPr>
        <w:t>仅因权利人的取证诱导</w:t>
      </w:r>
      <w:r>
        <w:rPr>
          <w:rFonts w:hint="eastAsia" w:ascii="仿宋" w:hAnsi="仿宋" w:eastAsia="仿宋" w:cs="仿宋"/>
          <w:color w:val="000000" w:themeColor="text1"/>
          <w:sz w:val="24"/>
          <w:szCs w:val="24"/>
          <w14:textFill>
            <w14:solidFill>
              <w14:schemeClr w14:val="tx1"/>
            </w14:solidFill>
          </w14:textFill>
        </w:rPr>
        <w:t>而发生，该销售地或销售者住所地也不能作为管辖依据。</w:t>
      </w:r>
    </w:p>
    <w:p w14:paraId="496FCD6C">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级别管辖与专属管辖：法院层级的确定</w:t>
      </w:r>
    </w:p>
    <w:p w14:paraId="24D67A62">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基层法院</w:t>
      </w:r>
      <w:r>
        <w:rPr>
          <w:rFonts w:hint="eastAsia" w:ascii="仿宋" w:hAnsi="仿宋" w:eastAsia="仿宋" w:cs="仿宋"/>
          <w:color w:val="000000" w:themeColor="text1"/>
          <w:sz w:val="24"/>
          <w:szCs w:val="24"/>
          <w14:textFill>
            <w14:solidFill>
              <w14:schemeClr w14:val="tx1"/>
            </w14:solidFill>
          </w14:textFill>
        </w:rPr>
        <w:t>：原则上，第一审涉外著作权案件由基层人民法院管辖。</w:t>
      </w:r>
    </w:p>
    <w:p w14:paraId="4D69AA8D">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中级人民法院</w:t>
      </w:r>
      <w:r>
        <w:rPr>
          <w:rFonts w:hint="eastAsia" w:ascii="仿宋" w:hAnsi="仿宋" w:eastAsia="仿宋" w:cs="仿宋"/>
          <w:color w:val="000000" w:themeColor="text1"/>
          <w:sz w:val="24"/>
          <w:szCs w:val="24"/>
          <w14:textFill>
            <w14:solidFill>
              <w14:schemeClr w14:val="tx1"/>
            </w14:solidFill>
          </w14:textFill>
        </w:rPr>
        <w:t>：对以下案件具有第一审管辖权：</w:t>
      </w:r>
    </w:p>
    <w:p w14:paraId="06ACF31C">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诉讼标的额达到规定标准（例如，</w:t>
      </w:r>
      <w:r>
        <w:rPr>
          <w:rFonts w:hint="eastAsia" w:ascii="仿宋" w:hAnsi="仿宋" w:eastAsia="仿宋" w:cs="仿宋"/>
          <w:color w:val="000000" w:themeColor="text1"/>
          <w:sz w:val="24"/>
          <w:szCs w:val="24"/>
          <w:lang w:val="en-US" w:eastAsia="zh-CN"/>
          <w14:textFill>
            <w14:solidFill>
              <w14:schemeClr w14:val="tx1"/>
            </w14:solidFill>
          </w14:textFill>
        </w:rPr>
        <w:t xml:space="preserve"> 江苏、浙江</w:t>
      </w:r>
      <w:r>
        <w:rPr>
          <w:rFonts w:hint="eastAsia" w:ascii="仿宋" w:hAnsi="仿宋" w:eastAsia="仿宋" w:cs="仿宋"/>
          <w:color w:val="000000" w:themeColor="text1"/>
          <w:sz w:val="24"/>
          <w:szCs w:val="24"/>
          <w14:textFill>
            <w14:solidFill>
              <w14:schemeClr w14:val="tx1"/>
            </w14:solidFill>
          </w14:textFill>
        </w:rPr>
        <w:t>等地，当前标准为人民币</w:t>
      </w:r>
      <w:r>
        <w:rPr>
          <w:rFonts w:hint="eastAsia" w:ascii="仿宋" w:hAnsi="仿宋" w:eastAsia="仿宋" w:cs="仿宋"/>
          <w:color w:val="000000" w:themeColor="text1"/>
          <w:sz w:val="24"/>
          <w:szCs w:val="24"/>
          <w:lang w:val="en-US" w:eastAsia="zh-CN"/>
          <w14:textFill>
            <w14:solidFill>
              <w14:schemeClr w14:val="tx1"/>
            </w14:solidFill>
          </w14:textFill>
        </w:rPr>
        <w:t>500</w:t>
      </w:r>
      <w:r>
        <w:rPr>
          <w:rFonts w:hint="eastAsia" w:ascii="仿宋" w:hAnsi="仿宋" w:eastAsia="仿宋" w:cs="仿宋"/>
          <w:color w:val="000000" w:themeColor="text1"/>
          <w:sz w:val="24"/>
          <w:szCs w:val="24"/>
          <w14:textFill>
            <w14:solidFill>
              <w14:schemeClr w14:val="tx1"/>
            </w14:solidFill>
          </w14:textFill>
        </w:rPr>
        <w:t>万元以上）。</w:t>
      </w:r>
    </w:p>
    <w:p w14:paraId="0118E35A">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在本辖区有重大影响的案件、重大涉外案件。</w:t>
      </w:r>
    </w:p>
    <w:p w14:paraId="228F1EBE">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特定类型案件</w:t>
      </w:r>
      <w:r>
        <w:rPr>
          <w:rFonts w:hint="eastAsia" w:ascii="仿宋" w:hAnsi="仿宋" w:eastAsia="仿宋" w:cs="仿宋"/>
          <w:color w:val="000000" w:themeColor="text1"/>
          <w:sz w:val="24"/>
          <w:szCs w:val="24"/>
          <w14:textFill>
            <w14:solidFill>
              <w14:schemeClr w14:val="tx1"/>
            </w14:solidFill>
          </w14:textFill>
        </w:rPr>
        <w:t>：涉及</w:t>
      </w:r>
      <w:r>
        <w:rPr>
          <w:rFonts w:hint="eastAsia" w:ascii="仿宋" w:hAnsi="仿宋" w:eastAsia="仿宋" w:cs="仿宋"/>
          <w:b/>
          <w:bCs/>
          <w:color w:val="000000" w:themeColor="text1"/>
          <w:sz w:val="24"/>
          <w:szCs w:val="24"/>
          <w14:textFill>
            <w14:solidFill>
              <w14:schemeClr w14:val="tx1"/>
            </w14:solidFill>
          </w14:textFill>
        </w:rPr>
        <w:t>计算机软件</w:t>
      </w:r>
      <w:r>
        <w:rPr>
          <w:rFonts w:hint="eastAsia" w:ascii="仿宋" w:hAnsi="仿宋" w:eastAsia="仿宋" w:cs="仿宋"/>
          <w:color w:val="000000" w:themeColor="text1"/>
          <w:sz w:val="24"/>
          <w:szCs w:val="24"/>
          <w14:textFill>
            <w14:solidFill>
              <w14:schemeClr w14:val="tx1"/>
            </w14:solidFill>
          </w14:textFill>
        </w:rPr>
        <w:t>的权属、侵权纠纷，原则上由</w:t>
      </w:r>
      <w:r>
        <w:rPr>
          <w:rFonts w:hint="eastAsia" w:ascii="仿宋" w:hAnsi="仿宋" w:eastAsia="仿宋" w:cs="仿宋"/>
          <w:b/>
          <w:bCs/>
          <w:color w:val="000000" w:themeColor="text1"/>
          <w:sz w:val="24"/>
          <w:szCs w:val="24"/>
          <w14:textFill>
            <w14:solidFill>
              <w14:schemeClr w14:val="tx1"/>
            </w14:solidFill>
          </w14:textFill>
        </w:rPr>
        <w:t>知识产权法院</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b/>
          <w:bCs/>
          <w:color w:val="000000" w:themeColor="text1"/>
          <w:sz w:val="24"/>
          <w:szCs w:val="24"/>
          <w14:textFill>
            <w14:solidFill>
              <w14:schemeClr w14:val="tx1"/>
            </w14:solidFill>
          </w14:textFill>
        </w:rPr>
        <w:t>中级人民法院</w:t>
      </w:r>
      <w:r>
        <w:rPr>
          <w:rFonts w:hint="eastAsia" w:ascii="仿宋" w:hAnsi="仿宋" w:eastAsia="仿宋" w:cs="仿宋"/>
          <w:color w:val="000000" w:themeColor="text1"/>
          <w:sz w:val="24"/>
          <w:szCs w:val="24"/>
          <w14:textFill>
            <w14:solidFill>
              <w14:schemeClr w14:val="tx1"/>
            </w14:solidFill>
          </w14:textFill>
        </w:rPr>
        <w:t>管辖。</w:t>
      </w:r>
    </w:p>
    <w:p w14:paraId="19ED9FAD">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知识产权法院专属管辖</w:t>
      </w:r>
      <w:r>
        <w:rPr>
          <w:rFonts w:hint="eastAsia" w:ascii="仿宋" w:hAnsi="仿宋" w:eastAsia="仿宋" w:cs="仿宋"/>
          <w:color w:val="000000" w:themeColor="text1"/>
          <w:sz w:val="24"/>
          <w:szCs w:val="24"/>
          <w14:textFill>
            <w14:solidFill>
              <w14:schemeClr w14:val="tx1"/>
            </w14:solidFill>
          </w14:textFill>
        </w:rPr>
        <w:t>：北京、上海、广州知识产权法院对所在市辖区内的专利、技术秘密、</w:t>
      </w:r>
      <w:r>
        <w:rPr>
          <w:rFonts w:hint="eastAsia" w:ascii="仿宋" w:hAnsi="仿宋" w:eastAsia="仿宋" w:cs="仿宋"/>
          <w:b/>
          <w:bCs/>
          <w:color w:val="000000" w:themeColor="text1"/>
          <w:sz w:val="24"/>
          <w:szCs w:val="24"/>
          <w14:textFill>
            <w14:solidFill>
              <w14:schemeClr w14:val="tx1"/>
            </w14:solidFill>
          </w14:textFill>
        </w:rPr>
        <w:t>计算机软件</w:t>
      </w:r>
      <w:r>
        <w:rPr>
          <w:rFonts w:hint="eastAsia" w:ascii="仿宋" w:hAnsi="仿宋" w:eastAsia="仿宋" w:cs="仿宋"/>
          <w:color w:val="000000" w:themeColor="text1"/>
          <w:sz w:val="24"/>
          <w:szCs w:val="24"/>
          <w14:textFill>
            <w14:solidFill>
              <w14:schemeClr w14:val="tx1"/>
            </w14:solidFill>
          </w14:textFill>
        </w:rPr>
        <w:t>等特定类型案件实行专属或跨区域集中管辖。若案件涉及计算机软件侵权，需特别注意可能由知识产权法院专属管辖。</w:t>
      </w:r>
    </w:p>
    <w:p w14:paraId="3C8B9742">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确定顺序</w:t>
      </w:r>
      <w:r>
        <w:rPr>
          <w:rFonts w:hint="eastAsia" w:ascii="仿宋" w:hAnsi="仿宋" w:eastAsia="仿宋" w:cs="仿宋"/>
          <w:color w:val="000000" w:themeColor="text1"/>
          <w:sz w:val="24"/>
          <w:szCs w:val="24"/>
          <w14:textFill>
            <w14:solidFill>
              <w14:schemeClr w14:val="tx1"/>
            </w14:solidFill>
          </w14:textFill>
        </w:rPr>
        <w:t>：通常先审查是否有专属管辖（如知识产权法院管辖软件案件），再结合诉讼标的额确定级别管辖，最后根据地域管辖连接点确定具体的受诉法院。</w:t>
      </w:r>
    </w:p>
    <w:bookmarkEnd w:id="23"/>
    <w:p w14:paraId="24780EA3">
      <w:pPr>
        <w:pStyle w:val="5"/>
        <w:rPr>
          <w:rFonts w:hint="eastAsia" w:ascii="仿宋" w:hAnsi="仿宋" w:eastAsia="仿宋" w:cs="仿宋"/>
          <w:color w:val="000000" w:themeColor="text1"/>
          <w:sz w:val="24"/>
          <w:szCs w:val="24"/>
          <w14:textFill>
            <w14:solidFill>
              <w14:schemeClr w14:val="tx1"/>
            </w14:solidFill>
          </w14:textFill>
        </w:rPr>
      </w:pPr>
      <w:bookmarkStart w:id="24" w:name="二-制定诉讼策略起诉前的关键决策"/>
      <w:r>
        <w:rPr>
          <w:rFonts w:hint="eastAsia" w:ascii="仿宋" w:hAnsi="仿宋" w:eastAsia="仿宋" w:cs="仿宋"/>
          <w:b/>
          <w:bCs/>
          <w:color w:val="000000" w:themeColor="text1"/>
          <w:sz w:val="24"/>
          <w:szCs w:val="24"/>
          <w14:textFill>
            <w14:solidFill>
              <w14:schemeClr w14:val="tx1"/>
            </w14:solidFill>
          </w14:textFill>
        </w:rPr>
        <w:t>二、</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制定诉讼策略：起诉前的关键决策</w:t>
      </w:r>
    </w:p>
    <w:p w14:paraId="1B64E793">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在起诉前，需综合评估并制定清晰的诉讼策略。</w:t>
      </w:r>
    </w:p>
    <w:p w14:paraId="1E329064">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起诉时机的选择</w:t>
      </w:r>
    </w:p>
    <w:p w14:paraId="3C29A615">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及时性</w:t>
      </w:r>
      <w:r>
        <w:rPr>
          <w:rFonts w:hint="eastAsia" w:ascii="仿宋" w:hAnsi="仿宋" w:eastAsia="仿宋" w:cs="仿宋"/>
          <w:color w:val="000000" w:themeColor="text1"/>
          <w:sz w:val="24"/>
          <w:szCs w:val="24"/>
          <w14:textFill>
            <w14:solidFill>
              <w14:schemeClr w14:val="tx1"/>
            </w14:solidFill>
          </w14:textFill>
        </w:rPr>
        <w:t>：为防止证据灭失或损害扩大，在取证完成后应及时起诉。尤其在侵权产品即将大规模上市、参展或季节性销售前夕，时间至关重要。</w:t>
      </w:r>
    </w:p>
    <w:p w14:paraId="4F0648B3">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策略性</w:t>
      </w:r>
      <w:r>
        <w:rPr>
          <w:rFonts w:hint="eastAsia" w:ascii="仿宋" w:hAnsi="仿宋" w:eastAsia="仿宋" w:cs="仿宋"/>
          <w:color w:val="000000" w:themeColor="text1"/>
          <w:sz w:val="24"/>
          <w:szCs w:val="24"/>
          <w14:textFill>
            <w14:solidFill>
              <w14:schemeClr w14:val="tx1"/>
            </w14:solidFill>
          </w14:textFill>
        </w:rPr>
        <w:t>：可考虑在行政投诉程序进行中同步提起民事诉讼，利用行政调查取得的证据（如询问笔录、认定结论）强化诉讼主张。</w:t>
      </w:r>
    </w:p>
    <w:p w14:paraId="26E1BC20">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被告主体的选择</w:t>
      </w:r>
    </w:p>
    <w:p w14:paraId="7776FA9C">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锁定直接侵权人</w:t>
      </w:r>
      <w:r>
        <w:rPr>
          <w:rFonts w:hint="eastAsia" w:ascii="仿宋" w:hAnsi="仿宋" w:eastAsia="仿宋" w:cs="仿宋"/>
          <w:color w:val="000000" w:themeColor="text1"/>
          <w:sz w:val="24"/>
          <w:szCs w:val="24"/>
          <w14:textFill>
            <w14:solidFill>
              <w14:schemeClr w14:val="tx1"/>
            </w14:solidFill>
          </w14:textFill>
        </w:rPr>
        <w:t>：优先起诉侵权行为的直接实施者，如生产商、复制商、销售商或非法使用的商业最终用户。</w:t>
      </w:r>
    </w:p>
    <w:p w14:paraId="1CD45BD6">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追溯全链条</w:t>
      </w:r>
      <w:r>
        <w:rPr>
          <w:rFonts w:hint="eastAsia" w:ascii="仿宋" w:hAnsi="仿宋" w:eastAsia="仿宋" w:cs="仿宋"/>
          <w:color w:val="000000" w:themeColor="text1"/>
          <w:sz w:val="24"/>
          <w:szCs w:val="24"/>
          <w14:textFill>
            <w14:solidFill>
              <w14:schemeClr w14:val="tx1"/>
            </w14:solidFill>
          </w14:textFill>
        </w:rPr>
        <w:t>：为最大化维权效果，可将侵权产业链上的多个主体列为</w:t>
      </w:r>
      <w:r>
        <w:rPr>
          <w:rFonts w:hint="eastAsia" w:ascii="仿宋" w:hAnsi="仿宋" w:eastAsia="仿宋" w:cs="仿宋"/>
          <w:b/>
          <w:bCs/>
          <w:color w:val="000000" w:themeColor="text1"/>
          <w:sz w:val="24"/>
          <w:szCs w:val="24"/>
          <w14:textFill>
            <w14:solidFill>
              <w14:schemeClr w14:val="tx1"/>
            </w14:solidFill>
          </w14:textFill>
        </w:rPr>
        <w:t>共同被告</w:t>
      </w:r>
      <w:r>
        <w:rPr>
          <w:rFonts w:hint="eastAsia" w:ascii="仿宋" w:hAnsi="仿宋" w:eastAsia="仿宋" w:cs="仿宋"/>
          <w:color w:val="000000" w:themeColor="text1"/>
          <w:sz w:val="24"/>
          <w:szCs w:val="24"/>
          <w14:textFill>
            <w14:solidFill>
              <w14:schemeClr w14:val="tx1"/>
            </w14:solidFill>
          </w14:textFill>
        </w:rPr>
        <w:t>，例如：</w:t>
      </w:r>
    </w:p>
    <w:p w14:paraId="2533F6BA">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网络侵权中，将</w:t>
      </w:r>
      <w:r>
        <w:rPr>
          <w:rFonts w:hint="eastAsia" w:ascii="仿宋" w:hAnsi="仿宋" w:eastAsia="仿宋" w:cs="仿宋"/>
          <w:b/>
          <w:bCs/>
          <w:color w:val="000000" w:themeColor="text1"/>
          <w:sz w:val="24"/>
          <w:szCs w:val="24"/>
          <w14:textFill>
            <w14:solidFill>
              <w14:schemeClr w14:val="tx1"/>
            </w14:solidFill>
          </w14:textFill>
        </w:rPr>
        <w:t>网络服务提供者</w:t>
      </w:r>
      <w:r>
        <w:rPr>
          <w:rFonts w:hint="eastAsia" w:ascii="仿宋" w:hAnsi="仿宋" w:eastAsia="仿宋" w:cs="仿宋"/>
          <w:color w:val="000000" w:themeColor="text1"/>
          <w:sz w:val="24"/>
          <w:szCs w:val="24"/>
          <w14:textFill>
            <w14:solidFill>
              <w14:schemeClr w14:val="tx1"/>
            </w14:solidFill>
          </w14:textFill>
        </w:rPr>
        <w:t>与直接侵权用户列为共同被告（特别是在网络服务提供者明知或应知侵权而未采取措施时）。</w:t>
      </w:r>
    </w:p>
    <w:p w14:paraId="4BD799CD">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出版侵权中，同时起诉</w:t>
      </w:r>
      <w:r>
        <w:rPr>
          <w:rFonts w:hint="eastAsia" w:ascii="仿宋" w:hAnsi="仿宋" w:eastAsia="仿宋" w:cs="仿宋"/>
          <w:b/>
          <w:bCs/>
          <w:color w:val="000000" w:themeColor="text1"/>
          <w:sz w:val="24"/>
          <w:szCs w:val="24"/>
          <w14:textFill>
            <w14:solidFill>
              <w14:schemeClr w14:val="tx1"/>
            </w14:solidFill>
          </w14:textFill>
        </w:rPr>
        <w:t>出版者</w:t>
      </w:r>
      <w:r>
        <w:rPr>
          <w:rFonts w:hint="eastAsia" w:ascii="仿宋" w:hAnsi="仿宋" w:eastAsia="仿宋" w:cs="仿宋"/>
          <w:color w:val="000000" w:themeColor="text1"/>
          <w:sz w:val="24"/>
          <w:szCs w:val="24"/>
          <w14:textFill>
            <w14:solidFill>
              <w14:schemeClr w14:val="tx1"/>
            </w14:solidFill>
          </w14:textFill>
        </w:rPr>
        <w:t>和</w:t>
      </w:r>
      <w:r>
        <w:rPr>
          <w:rFonts w:hint="eastAsia" w:ascii="仿宋" w:hAnsi="仿宋" w:eastAsia="仿宋" w:cs="仿宋"/>
          <w:b/>
          <w:bCs/>
          <w:color w:val="000000" w:themeColor="text1"/>
          <w:sz w:val="24"/>
          <w:szCs w:val="24"/>
          <w14:textFill>
            <w14:solidFill>
              <w14:schemeClr w14:val="tx1"/>
            </w14:solidFill>
          </w14:textFill>
        </w:rPr>
        <w:t>侵权作品作者</w:t>
      </w:r>
      <w:r>
        <w:rPr>
          <w:rFonts w:hint="eastAsia" w:ascii="仿宋" w:hAnsi="仿宋" w:eastAsia="仿宋" w:cs="仿宋"/>
          <w:color w:val="000000" w:themeColor="text1"/>
          <w:sz w:val="24"/>
          <w:szCs w:val="24"/>
          <w14:textFill>
            <w14:solidFill>
              <w14:schemeClr w14:val="tx1"/>
            </w14:solidFill>
          </w14:textFill>
        </w:rPr>
        <w:t>。</w:t>
      </w:r>
    </w:p>
    <w:p w14:paraId="0B87A453">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基于管辖与执行的考虑</w:t>
      </w:r>
      <w:r>
        <w:rPr>
          <w:rFonts w:hint="eastAsia" w:ascii="仿宋" w:hAnsi="仿宋" w:eastAsia="仿宋" w:cs="仿宋"/>
          <w:color w:val="000000" w:themeColor="text1"/>
          <w:sz w:val="24"/>
          <w:szCs w:val="24"/>
          <w14:textFill>
            <w14:solidFill>
              <w14:schemeClr w14:val="tx1"/>
            </w14:solidFill>
          </w14:textFill>
        </w:rPr>
        <w:t>：选择被告时，应同时评估其所在地法院是否便于诉讼、其财产是否便于后续判决执行。</w:t>
      </w:r>
    </w:p>
    <w:p w14:paraId="56E13721">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 </w:t>
      </w:r>
      <w:r>
        <w:rPr>
          <w:rFonts w:hint="eastAsia" w:ascii="仿宋" w:hAnsi="仿宋" w:eastAsia="仿宋" w:cs="仿宋"/>
          <w:b/>
          <w:bCs/>
          <w:color w:val="000000" w:themeColor="text1"/>
          <w:sz w:val="24"/>
          <w:szCs w:val="24"/>
          <w14:textFill>
            <w14:solidFill>
              <w14:schemeClr w14:val="tx1"/>
            </w14:solidFill>
          </w14:textFill>
        </w:rPr>
        <w:t>诉讼请求的设计</w:t>
      </w:r>
    </w:p>
    <w:p w14:paraId="58EFB815">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核心请求</w:t>
      </w:r>
      <w:r>
        <w:rPr>
          <w:rFonts w:hint="eastAsia" w:ascii="仿宋" w:hAnsi="仿宋" w:eastAsia="仿宋" w:cs="仿宋"/>
          <w:color w:val="000000" w:themeColor="text1"/>
          <w:sz w:val="24"/>
          <w:szCs w:val="24"/>
          <w14:textFill>
            <w14:solidFill>
              <w14:schemeClr w14:val="tx1"/>
            </w14:solidFill>
          </w14:textFill>
        </w:rPr>
        <w:t>：</w:t>
      </w:r>
    </w:p>
    <w:p w14:paraId="34A1F6A9">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停止侵权</w:t>
      </w:r>
      <w:r>
        <w:rPr>
          <w:rFonts w:hint="eastAsia" w:ascii="仿宋" w:hAnsi="仿宋" w:eastAsia="仿宋" w:cs="仿宋"/>
          <w:color w:val="000000" w:themeColor="text1"/>
          <w:sz w:val="24"/>
          <w:szCs w:val="24"/>
          <w14:textFill>
            <w14:solidFill>
              <w14:schemeClr w14:val="tx1"/>
            </w14:solidFill>
          </w14:textFill>
        </w:rPr>
        <w:t>：要求立即停止生产、销售、许诺销售、复制、信息网络传播等侵权行为。</w:t>
      </w:r>
    </w:p>
    <w:p w14:paraId="45AD8552">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赔偿损失</w:t>
      </w:r>
      <w:r>
        <w:rPr>
          <w:rFonts w:hint="eastAsia" w:ascii="仿宋" w:hAnsi="仿宋" w:eastAsia="仿宋" w:cs="仿宋"/>
          <w:color w:val="000000" w:themeColor="text1"/>
          <w:sz w:val="24"/>
          <w:szCs w:val="24"/>
          <w14:textFill>
            <w14:solidFill>
              <w14:schemeClr w14:val="tx1"/>
            </w14:solidFill>
          </w14:textFill>
        </w:rPr>
        <w:t>：根据法定计算方法主张经济损失（详见下文损害赔偿部分）。</w:t>
      </w:r>
    </w:p>
    <w:p w14:paraId="221C6326">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合理开支</w:t>
      </w:r>
      <w:r>
        <w:rPr>
          <w:rFonts w:hint="eastAsia" w:ascii="仿宋" w:hAnsi="仿宋" w:eastAsia="仿宋" w:cs="仿宋"/>
          <w:color w:val="000000" w:themeColor="text1"/>
          <w:sz w:val="24"/>
          <w:szCs w:val="24"/>
          <w14:textFill>
            <w14:solidFill>
              <w14:schemeClr w14:val="tx1"/>
            </w14:solidFill>
          </w14:textFill>
        </w:rPr>
        <w:t>：明确要求被告赔偿为制止侵权行为所支付的</w:t>
      </w:r>
      <w:r>
        <w:rPr>
          <w:rFonts w:hint="eastAsia" w:ascii="仿宋" w:hAnsi="仿宋" w:eastAsia="仿宋" w:cs="仿宋"/>
          <w:b/>
          <w:bCs/>
          <w:color w:val="000000" w:themeColor="text1"/>
          <w:sz w:val="24"/>
          <w:szCs w:val="24"/>
          <w14:textFill>
            <w14:solidFill>
              <w14:schemeClr w14:val="tx1"/>
            </w14:solidFill>
          </w14:textFill>
        </w:rPr>
        <w:t>合理费用</w:t>
      </w:r>
      <w:r>
        <w:rPr>
          <w:rFonts w:hint="eastAsia" w:ascii="仿宋" w:hAnsi="仿宋" w:eastAsia="仿宋" w:cs="仿宋"/>
          <w:color w:val="000000" w:themeColor="text1"/>
          <w:sz w:val="24"/>
          <w:szCs w:val="24"/>
          <w14:textFill>
            <w14:solidFill>
              <w14:schemeClr w14:val="tx1"/>
            </w14:solidFill>
          </w14:textFill>
        </w:rPr>
        <w:t>，包括律师费、公证费、调查取证费、翻译费等，并附相应票据。</w:t>
      </w:r>
    </w:p>
    <w:p w14:paraId="0E5BE4DE">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附随请求</w:t>
      </w:r>
      <w:r>
        <w:rPr>
          <w:rFonts w:hint="eastAsia" w:ascii="仿宋" w:hAnsi="仿宋" w:eastAsia="仿宋" w:cs="仿宋"/>
          <w:color w:val="000000" w:themeColor="text1"/>
          <w:sz w:val="24"/>
          <w:szCs w:val="24"/>
          <w14:textFill>
            <w14:solidFill>
              <w14:schemeClr w14:val="tx1"/>
            </w14:solidFill>
          </w14:textFill>
        </w:rPr>
        <w:t>：</w:t>
      </w:r>
    </w:p>
    <w:p w14:paraId="00CFA64F">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销毁侵权物品及工具</w:t>
      </w:r>
      <w:r>
        <w:rPr>
          <w:rFonts w:hint="eastAsia" w:ascii="仿宋" w:hAnsi="仿宋" w:eastAsia="仿宋" w:cs="仿宋"/>
          <w:color w:val="000000" w:themeColor="text1"/>
          <w:sz w:val="24"/>
          <w:szCs w:val="24"/>
          <w14:textFill>
            <w14:solidFill>
              <w14:schemeClr w14:val="tx1"/>
            </w14:solidFill>
          </w14:textFill>
        </w:rPr>
        <w:t>：请求法院判令销毁库存侵权复制品及用于侵权生产的专用模具、设备。</w:t>
      </w:r>
    </w:p>
    <w:p w14:paraId="588DEE41">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赔礼道歉、消除影响</w:t>
      </w:r>
      <w:r>
        <w:rPr>
          <w:rFonts w:hint="eastAsia" w:ascii="仿宋" w:hAnsi="仿宋" w:eastAsia="仿宋" w:cs="仿宋"/>
          <w:color w:val="000000" w:themeColor="text1"/>
          <w:sz w:val="24"/>
          <w:szCs w:val="24"/>
          <w14:textFill>
            <w14:solidFill>
              <w14:schemeClr w14:val="tx1"/>
            </w14:solidFill>
          </w14:textFill>
        </w:rPr>
        <w:t>：适用于侵权行为损害了权利人署名权、名誉权或造成不良商誉影响的情形。</w:t>
      </w:r>
    </w:p>
    <w:p w14:paraId="17FB16E5">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临时措施</w:t>
      </w:r>
      <w:r>
        <w:rPr>
          <w:rFonts w:hint="eastAsia" w:ascii="仿宋" w:hAnsi="仿宋" w:eastAsia="仿宋" w:cs="仿宋"/>
          <w:color w:val="000000" w:themeColor="text1"/>
          <w:sz w:val="24"/>
          <w:szCs w:val="24"/>
          <w14:textFill>
            <w14:solidFill>
              <w14:schemeClr w14:val="tx1"/>
            </w14:solidFill>
          </w14:textFill>
        </w:rPr>
        <w:t>：在起诉时或起诉后，可视情况申请</w:t>
      </w:r>
      <w:r>
        <w:rPr>
          <w:rFonts w:hint="eastAsia" w:ascii="仿宋" w:hAnsi="仿宋" w:eastAsia="仿宋" w:cs="仿宋"/>
          <w:b/>
          <w:bCs/>
          <w:color w:val="000000" w:themeColor="text1"/>
          <w:sz w:val="24"/>
          <w:szCs w:val="24"/>
          <w14:textFill>
            <w14:solidFill>
              <w14:schemeClr w14:val="tx1"/>
            </w14:solidFill>
          </w14:textFill>
        </w:rPr>
        <w:t>行为保全（临时禁令）</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证据保全</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b/>
          <w:bCs/>
          <w:color w:val="000000" w:themeColor="text1"/>
          <w:sz w:val="24"/>
          <w:szCs w:val="24"/>
          <w14:textFill>
            <w14:solidFill>
              <w14:schemeClr w14:val="tx1"/>
            </w14:solidFill>
          </w14:textFill>
        </w:rPr>
        <w:t>财产保全</w:t>
      </w:r>
      <w:r>
        <w:rPr>
          <w:rFonts w:hint="eastAsia" w:ascii="仿宋" w:hAnsi="仿宋" w:eastAsia="仿宋" w:cs="仿宋"/>
          <w:color w:val="000000" w:themeColor="text1"/>
          <w:sz w:val="24"/>
          <w:szCs w:val="24"/>
          <w14:textFill>
            <w14:solidFill>
              <w14:schemeClr w14:val="tx1"/>
            </w14:solidFill>
          </w14:textFill>
        </w:rPr>
        <w:t>。</w:t>
      </w:r>
    </w:p>
    <w:bookmarkEnd w:id="24"/>
    <w:p w14:paraId="68747311">
      <w:pPr>
        <w:pStyle w:val="5"/>
        <w:rPr>
          <w:rFonts w:hint="eastAsia" w:ascii="仿宋" w:hAnsi="仿宋" w:eastAsia="仿宋" w:cs="仿宋"/>
          <w:color w:val="000000" w:themeColor="text1"/>
          <w:sz w:val="24"/>
          <w:szCs w:val="24"/>
          <w14:textFill>
            <w14:solidFill>
              <w14:schemeClr w14:val="tx1"/>
            </w14:solidFill>
          </w14:textFill>
        </w:rPr>
      </w:pPr>
      <w:bookmarkStart w:id="25" w:name="三-证据的提交与质证构建稳固的证据链"/>
      <w:r>
        <w:rPr>
          <w:rFonts w:hint="eastAsia" w:ascii="仿宋" w:hAnsi="仿宋" w:eastAsia="仿宋" w:cs="仿宋"/>
          <w:b/>
          <w:bCs/>
          <w:color w:val="000000" w:themeColor="text1"/>
          <w:sz w:val="24"/>
          <w:szCs w:val="24"/>
          <w14:textFill>
            <w14:solidFill>
              <w14:schemeClr w14:val="tx1"/>
            </w14:solidFill>
          </w14:textFill>
        </w:rPr>
        <w:t>三、</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证据的提交与质证：构建稳固的“证据链”</w:t>
      </w:r>
    </w:p>
    <w:p w14:paraId="699067A6">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诉讼的核心在于证据。权利人需将前期固定的证据，按照法律要求进行组织与提交。</w:t>
      </w:r>
    </w:p>
    <w:p w14:paraId="6B2DDB1E">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举证责任分配与证明标准</w:t>
      </w:r>
    </w:p>
    <w:p w14:paraId="3673DE21">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原告的初步举证责任（“接触+实质性相似”原则）</w:t>
      </w:r>
      <w:r>
        <w:rPr>
          <w:rFonts w:hint="eastAsia" w:ascii="仿宋" w:hAnsi="仿宋" w:eastAsia="仿宋" w:cs="仿宋"/>
          <w:color w:val="000000" w:themeColor="text1"/>
          <w:sz w:val="24"/>
          <w:szCs w:val="24"/>
          <w14:textFill>
            <w14:solidFill>
              <w14:schemeClr w14:val="tx1"/>
            </w14:solidFill>
          </w14:textFill>
        </w:rPr>
        <w:t>：</w:t>
      </w:r>
    </w:p>
    <w:p w14:paraId="0052684C">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权属证据</w:t>
      </w:r>
      <w:r>
        <w:rPr>
          <w:rFonts w:hint="eastAsia" w:ascii="仿宋" w:hAnsi="仿宋" w:eastAsia="仿宋" w:cs="仿宋"/>
          <w:color w:val="000000" w:themeColor="text1"/>
          <w:sz w:val="24"/>
          <w:szCs w:val="24"/>
          <w14:textFill>
            <w14:solidFill>
              <w14:schemeClr w14:val="tx1"/>
            </w14:solidFill>
          </w14:textFill>
        </w:rPr>
        <w:t>：证明自己是作品的著作权人。对于</w:t>
      </w:r>
      <w:r>
        <w:rPr>
          <w:rFonts w:hint="eastAsia" w:ascii="仿宋" w:hAnsi="仿宋" w:eastAsia="仿宋" w:cs="仿宋"/>
          <w:b/>
          <w:bCs/>
          <w:color w:val="000000" w:themeColor="text1"/>
          <w:sz w:val="24"/>
          <w:szCs w:val="24"/>
          <w14:textFill>
            <w14:solidFill>
              <w14:schemeClr w14:val="tx1"/>
            </w14:solidFill>
          </w14:textFill>
        </w:rPr>
        <w:t>境外形成的权属证据</w:t>
      </w:r>
      <w:r>
        <w:rPr>
          <w:rFonts w:hint="eastAsia" w:ascii="仿宋" w:hAnsi="仿宋" w:eastAsia="仿宋" w:cs="仿宋"/>
          <w:color w:val="000000" w:themeColor="text1"/>
          <w:sz w:val="24"/>
          <w:szCs w:val="24"/>
          <w14:textFill>
            <w14:solidFill>
              <w14:schemeClr w14:val="tx1"/>
            </w14:solidFill>
          </w14:textFill>
        </w:rPr>
        <w:t>（如外国版权登记证书），原则上需办理</w:t>
      </w:r>
      <w:r>
        <w:rPr>
          <w:rFonts w:hint="eastAsia" w:ascii="仿宋" w:hAnsi="仿宋" w:eastAsia="仿宋" w:cs="仿宋"/>
          <w:b/>
          <w:bCs/>
          <w:color w:val="000000" w:themeColor="text1"/>
          <w:sz w:val="24"/>
          <w:szCs w:val="24"/>
          <w14:textFill>
            <w14:solidFill>
              <w14:schemeClr w14:val="tx1"/>
            </w14:solidFill>
          </w14:textFill>
        </w:rPr>
        <w:t>公证认证</w:t>
      </w:r>
      <w:r>
        <w:rPr>
          <w:rFonts w:hint="eastAsia" w:ascii="仿宋" w:hAnsi="仿宋" w:eastAsia="仿宋" w:cs="仿宋"/>
          <w:color w:val="000000" w:themeColor="text1"/>
          <w:sz w:val="24"/>
          <w:szCs w:val="24"/>
          <w14:textFill>
            <w14:solidFill>
              <w14:schemeClr w14:val="tx1"/>
            </w14:solidFill>
          </w14:textFill>
        </w:rPr>
        <w:t>手续，并附中文译本。</w:t>
      </w:r>
    </w:p>
    <w:p w14:paraId="79093024">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接触可能性</w:t>
      </w:r>
      <w:r>
        <w:rPr>
          <w:rFonts w:hint="eastAsia" w:ascii="仿宋" w:hAnsi="仿宋" w:eastAsia="仿宋" w:cs="仿宋"/>
          <w:color w:val="000000" w:themeColor="text1"/>
          <w:sz w:val="24"/>
          <w:szCs w:val="24"/>
          <w14:textFill>
            <w14:solidFill>
              <w14:schemeClr w14:val="tx1"/>
            </w14:solidFill>
          </w14:textFill>
        </w:rPr>
        <w:t>：证明被告有接触作品的可能（如作品已公开发表）。</w:t>
      </w:r>
    </w:p>
    <w:p w14:paraId="6FF70978">
      <w:pPr>
        <w:pStyle w:val="26"/>
        <w:numPr>
          <w:ilvl w:val="1"/>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侵权行为与相似性</w:t>
      </w:r>
      <w:r>
        <w:rPr>
          <w:rFonts w:hint="eastAsia" w:ascii="仿宋" w:hAnsi="仿宋" w:eastAsia="仿宋" w:cs="仿宋"/>
          <w:color w:val="000000" w:themeColor="text1"/>
          <w:sz w:val="24"/>
          <w:szCs w:val="24"/>
          <w14:textFill>
            <w14:solidFill>
              <w14:schemeClr w14:val="tx1"/>
            </w14:solidFill>
          </w14:textFill>
        </w:rPr>
        <w:t>：提供证据证明被告实施了侵权行为，且被诉侵权作品与权利作品构成</w:t>
      </w:r>
      <w:r>
        <w:rPr>
          <w:rFonts w:hint="eastAsia" w:ascii="仿宋" w:hAnsi="仿宋" w:eastAsia="仿宋" w:cs="仿宋"/>
          <w:b/>
          <w:bCs/>
          <w:color w:val="000000" w:themeColor="text1"/>
          <w:sz w:val="24"/>
          <w:szCs w:val="24"/>
          <w14:textFill>
            <w14:solidFill>
              <w14:schemeClr w14:val="tx1"/>
            </w14:solidFill>
          </w14:textFill>
        </w:rPr>
        <w:t>相同或实质性相似</w:t>
      </w:r>
      <w:r>
        <w:rPr>
          <w:rFonts w:hint="eastAsia" w:ascii="仿宋" w:hAnsi="仿宋" w:eastAsia="仿宋" w:cs="仿宋"/>
          <w:color w:val="000000" w:themeColor="text1"/>
          <w:sz w:val="24"/>
          <w:szCs w:val="24"/>
          <w14:textFill>
            <w14:solidFill>
              <w14:schemeClr w14:val="tx1"/>
            </w14:solidFill>
          </w14:textFill>
        </w:rPr>
        <w:t>。</w:t>
      </w:r>
    </w:p>
    <w:p w14:paraId="6083DCE4">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被告的抗辩与举证责任</w:t>
      </w:r>
      <w:r>
        <w:rPr>
          <w:rFonts w:hint="eastAsia" w:ascii="仿宋" w:hAnsi="仿宋" w:eastAsia="仿宋" w:cs="仿宋"/>
          <w:color w:val="000000" w:themeColor="text1"/>
          <w:sz w:val="24"/>
          <w:szCs w:val="24"/>
          <w14:textFill>
            <w14:solidFill>
              <w14:schemeClr w14:val="tx1"/>
            </w14:solidFill>
          </w14:textFill>
        </w:rPr>
        <w:t>：如果被告主张</w:t>
      </w:r>
      <w:r>
        <w:rPr>
          <w:rFonts w:hint="eastAsia" w:ascii="仿宋" w:hAnsi="仿宋" w:eastAsia="仿宋" w:cs="仿宋"/>
          <w:b/>
          <w:bCs/>
          <w:color w:val="000000" w:themeColor="text1"/>
          <w:sz w:val="24"/>
          <w:szCs w:val="24"/>
          <w14:textFill>
            <w14:solidFill>
              <w14:schemeClr w14:val="tx1"/>
            </w14:solidFill>
          </w14:textFill>
        </w:rPr>
        <w:t>独立创作</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合法来源</w:t>
      </w:r>
      <w:r>
        <w:rPr>
          <w:rFonts w:hint="eastAsia" w:ascii="仿宋" w:hAnsi="仿宋" w:eastAsia="仿宋" w:cs="仿宋"/>
          <w:color w:val="000000" w:themeColor="text1"/>
          <w:sz w:val="24"/>
          <w:szCs w:val="24"/>
          <w14:textFill>
            <w14:solidFill>
              <w14:schemeClr w14:val="tx1"/>
            </w14:solidFill>
          </w14:textFill>
        </w:rPr>
        <w:t>或</w:t>
      </w:r>
      <w:r>
        <w:rPr>
          <w:rFonts w:hint="eastAsia" w:ascii="仿宋" w:hAnsi="仿宋" w:eastAsia="仿宋" w:cs="仿宋"/>
          <w:b/>
          <w:bCs/>
          <w:color w:val="000000" w:themeColor="text1"/>
          <w:sz w:val="24"/>
          <w:szCs w:val="24"/>
          <w14:textFill>
            <w14:solidFill>
              <w14:schemeClr w14:val="tx1"/>
            </w14:solidFill>
          </w14:textFill>
        </w:rPr>
        <w:t>合理使用</w:t>
      </w:r>
      <w:r>
        <w:rPr>
          <w:rFonts w:hint="eastAsia" w:ascii="仿宋" w:hAnsi="仿宋" w:eastAsia="仿宋" w:cs="仿宋"/>
          <w:color w:val="000000" w:themeColor="text1"/>
          <w:sz w:val="24"/>
          <w:szCs w:val="24"/>
          <w14:textFill>
            <w14:solidFill>
              <w14:schemeClr w14:val="tx1"/>
            </w14:solidFill>
          </w14:textFill>
        </w:rPr>
        <w:t>，则必须对此承担举证责任。</w:t>
      </w:r>
    </w:p>
    <w:p w14:paraId="3B792950">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举证妨碍规则</w:t>
      </w:r>
      <w:r>
        <w:rPr>
          <w:rFonts w:hint="eastAsia" w:ascii="仿宋" w:hAnsi="仿宋" w:eastAsia="仿宋" w:cs="仿宋"/>
          <w:color w:val="000000" w:themeColor="text1"/>
          <w:sz w:val="24"/>
          <w:szCs w:val="24"/>
          <w14:textFill>
            <w14:solidFill>
              <w14:schemeClr w14:val="tx1"/>
            </w14:solidFill>
          </w14:textFill>
        </w:rPr>
        <w:t>：若证明侵权获利的关键证据（如财务账册）由被告掌握，法院可责令其提供。</w:t>
      </w:r>
      <w:r>
        <w:rPr>
          <w:rFonts w:hint="eastAsia" w:ascii="仿宋" w:hAnsi="仿宋" w:eastAsia="仿宋" w:cs="仿宋"/>
          <w:b/>
          <w:bCs/>
          <w:color w:val="000000" w:themeColor="text1"/>
          <w:sz w:val="24"/>
          <w:szCs w:val="24"/>
          <w14:textFill>
            <w14:solidFill>
              <w14:schemeClr w14:val="tx1"/>
            </w14:solidFill>
          </w14:textFill>
        </w:rPr>
        <w:t>被告无正当理由拒不提供的，法院可以根据原告的主张和提供的证据判定赔偿数额</w:t>
      </w:r>
      <w:r>
        <w:rPr>
          <w:rFonts w:hint="eastAsia" w:ascii="仿宋" w:hAnsi="仿宋" w:eastAsia="仿宋" w:cs="仿宋"/>
          <w:color w:val="000000" w:themeColor="text1"/>
          <w:sz w:val="24"/>
          <w:szCs w:val="24"/>
          <w14:textFill>
            <w14:solidFill>
              <w14:schemeClr w14:val="tx1"/>
            </w14:solidFill>
          </w14:textFill>
        </w:rPr>
        <w:t>，这对权利人极为有利。</w:t>
      </w:r>
    </w:p>
    <w:p w14:paraId="6296D91B">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证据形式与认定</w:t>
      </w:r>
    </w:p>
    <w:p w14:paraId="3959B643">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域外证据的公证认证</w:t>
      </w:r>
      <w:r>
        <w:rPr>
          <w:rFonts w:hint="eastAsia" w:ascii="仿宋" w:hAnsi="仿宋" w:eastAsia="仿宋" w:cs="仿宋"/>
          <w:color w:val="000000" w:themeColor="text1"/>
          <w:sz w:val="24"/>
          <w:szCs w:val="24"/>
          <w14:textFill>
            <w14:solidFill>
              <w14:schemeClr w14:val="tx1"/>
            </w14:solidFill>
          </w14:textFill>
        </w:rPr>
        <w:t>：在中华人民共和国领域外形成的</w:t>
      </w:r>
      <w:r>
        <w:rPr>
          <w:rFonts w:hint="eastAsia" w:ascii="仿宋" w:hAnsi="仿宋" w:eastAsia="仿宋" w:cs="仿宋"/>
          <w:b/>
          <w:bCs/>
          <w:color w:val="000000" w:themeColor="text1"/>
          <w:sz w:val="24"/>
          <w:szCs w:val="24"/>
          <w14:textFill>
            <w14:solidFill>
              <w14:schemeClr w14:val="tx1"/>
            </w14:solidFill>
          </w14:textFill>
        </w:rPr>
        <w:t>授权委托书</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主体资格证明</w:t>
      </w:r>
      <w:r>
        <w:rPr>
          <w:rFonts w:hint="eastAsia" w:ascii="仿宋" w:hAnsi="仿宋" w:eastAsia="仿宋" w:cs="仿宋"/>
          <w:color w:val="000000" w:themeColor="text1"/>
          <w:sz w:val="24"/>
          <w:szCs w:val="24"/>
          <w14:textFill>
            <w14:solidFill>
              <w14:schemeClr w14:val="tx1"/>
            </w14:solidFill>
          </w14:textFill>
        </w:rPr>
        <w:t>等涉及身份关系的证据，必须经所在国公证机关证明，并经中国驻该国使领馆认证。</w:t>
      </w:r>
    </w:p>
    <w:p w14:paraId="3DDE325D">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证据效力</w:t>
      </w:r>
      <w:r>
        <w:rPr>
          <w:rFonts w:hint="eastAsia" w:ascii="仿宋" w:hAnsi="仿宋" w:eastAsia="仿宋" w:cs="仿宋"/>
          <w:color w:val="000000" w:themeColor="text1"/>
          <w:sz w:val="24"/>
          <w:szCs w:val="24"/>
          <w14:textFill>
            <w14:solidFill>
              <w14:schemeClr w14:val="tx1"/>
            </w14:solidFill>
          </w14:textFill>
        </w:rPr>
        <w:t>：经过公证的侵权行为证据（如网页保全公证）具有较高证明力。</w:t>
      </w:r>
      <w:r>
        <w:rPr>
          <w:rFonts w:hint="eastAsia" w:ascii="仿宋" w:hAnsi="仿宋" w:eastAsia="仿宋" w:cs="仿宋"/>
          <w:b/>
          <w:bCs/>
          <w:color w:val="000000" w:themeColor="text1"/>
          <w:sz w:val="24"/>
          <w:szCs w:val="24"/>
          <w14:textFill>
            <w14:solidFill>
              <w14:schemeClr w14:val="tx1"/>
            </w14:solidFill>
          </w14:textFill>
        </w:rPr>
        <w:t>可信时间戳</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区块链存证</w:t>
      </w:r>
      <w:r>
        <w:rPr>
          <w:rFonts w:hint="eastAsia" w:ascii="仿宋" w:hAnsi="仿宋" w:eastAsia="仿宋" w:cs="仿宋"/>
          <w:color w:val="000000" w:themeColor="text1"/>
          <w:sz w:val="24"/>
          <w:szCs w:val="24"/>
          <w14:textFill>
            <w14:solidFill>
              <w14:schemeClr w14:val="tx1"/>
            </w14:solidFill>
          </w14:textFill>
        </w:rPr>
        <w:t>等电子证据，只要能够保证完整性、真实性，亦被法院广泛采信。</w:t>
      </w:r>
    </w:p>
    <w:bookmarkEnd w:id="25"/>
    <w:p w14:paraId="34E057C2">
      <w:pPr>
        <w:pStyle w:val="5"/>
        <w:rPr>
          <w:rFonts w:hint="eastAsia" w:ascii="仿宋" w:hAnsi="仿宋" w:eastAsia="仿宋" w:cs="仿宋"/>
          <w:color w:val="000000" w:themeColor="text1"/>
          <w:sz w:val="24"/>
          <w:szCs w:val="24"/>
          <w14:textFill>
            <w14:solidFill>
              <w14:schemeClr w14:val="tx1"/>
            </w14:solidFill>
          </w14:textFill>
        </w:rPr>
      </w:pPr>
      <w:bookmarkStart w:id="26" w:name="四-损害赔偿的计算确定诉讼的经济目标"/>
      <w:r>
        <w:rPr>
          <w:rFonts w:hint="eastAsia" w:ascii="仿宋" w:hAnsi="仿宋" w:eastAsia="仿宋" w:cs="仿宋"/>
          <w:b/>
          <w:bCs/>
          <w:color w:val="000000" w:themeColor="text1"/>
          <w:sz w:val="24"/>
          <w:szCs w:val="24"/>
          <w14:textFill>
            <w14:solidFill>
              <w14:schemeClr w14:val="tx1"/>
            </w14:solidFill>
          </w14:textFill>
        </w:rPr>
        <w:t>四、</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损害赔偿的计算：确定诉讼的经济目标</w:t>
      </w:r>
    </w:p>
    <w:p w14:paraId="02884DBD">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中国法律规定了损害赔偿的计算方法及顺序，主张赔偿时应明确计算路径。</w:t>
      </w:r>
    </w:p>
    <w:p w14:paraId="20C10CD3">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计算方法的法定顺序</w:t>
      </w:r>
    </w:p>
    <w:p w14:paraId="34CF9759">
      <w:pPr>
        <w:pStyle w:val="26"/>
        <w:numPr>
          <w:ilvl w:val="0"/>
          <w:numId w:val="5"/>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权利人的实际损失</w:t>
      </w:r>
      <w:r>
        <w:rPr>
          <w:rFonts w:hint="eastAsia" w:ascii="仿宋" w:hAnsi="仿宋" w:eastAsia="仿宋" w:cs="仿宋"/>
          <w:color w:val="000000" w:themeColor="text1"/>
          <w:sz w:val="24"/>
          <w:szCs w:val="24"/>
          <w14:textFill>
            <w14:solidFill>
              <w14:schemeClr w14:val="tx1"/>
            </w14:solidFill>
          </w14:textFill>
        </w:rPr>
        <w:t>：根据因侵权导致复制品销量减少的数量乘以单位利润等方法计算。</w:t>
      </w:r>
      <w:r>
        <w:rPr>
          <w:rFonts w:hint="eastAsia" w:ascii="仿宋" w:hAnsi="仿宋" w:eastAsia="仿宋" w:cs="仿宋"/>
          <w:b/>
          <w:bCs/>
          <w:color w:val="000000" w:themeColor="text1"/>
          <w:sz w:val="24"/>
          <w:szCs w:val="24"/>
          <w14:textFill>
            <w14:solidFill>
              <w14:schemeClr w14:val="tx1"/>
            </w14:solidFill>
          </w14:textFill>
        </w:rPr>
        <w:t>（实践中因难以精确举证而较少直接适用）</w:t>
      </w:r>
    </w:p>
    <w:p w14:paraId="38EB06BB">
      <w:pPr>
        <w:pStyle w:val="26"/>
        <w:numPr>
          <w:ilvl w:val="0"/>
          <w:numId w:val="5"/>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侵权人的违法所得</w:t>
      </w:r>
      <w:r>
        <w:rPr>
          <w:rFonts w:hint="eastAsia" w:ascii="仿宋" w:hAnsi="仿宋" w:eastAsia="仿宋" w:cs="仿宋"/>
          <w:color w:val="000000" w:themeColor="text1"/>
          <w:sz w:val="24"/>
          <w:szCs w:val="24"/>
          <w14:textFill>
            <w14:solidFill>
              <w14:schemeClr w14:val="tx1"/>
            </w14:solidFill>
          </w14:textFill>
        </w:rPr>
        <w:t>：主张以侵权人因侵权所获利润进行赔偿。在被告掌握相关账簿时，可申请法院责令其提供。</w:t>
      </w:r>
    </w:p>
    <w:p w14:paraId="3E1C8214">
      <w:pPr>
        <w:pStyle w:val="26"/>
        <w:numPr>
          <w:ilvl w:val="0"/>
          <w:numId w:val="5"/>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参照权利许可使用费</w:t>
      </w:r>
      <w:r>
        <w:rPr>
          <w:rFonts w:hint="eastAsia" w:ascii="仿宋" w:hAnsi="仿宋" w:eastAsia="仿宋" w:cs="仿宋"/>
          <w:color w:val="000000" w:themeColor="text1"/>
          <w:sz w:val="24"/>
          <w:szCs w:val="24"/>
          <w14:textFill>
            <w14:solidFill>
              <w14:schemeClr w14:val="tx1"/>
            </w14:solidFill>
          </w14:textFill>
        </w:rPr>
        <w:t>：可以参照合理的许可使用费标准主张赔偿。</w:t>
      </w:r>
    </w:p>
    <w:p w14:paraId="35E15698">
      <w:pPr>
        <w:pStyle w:val="26"/>
        <w:numPr>
          <w:ilvl w:val="0"/>
          <w:numId w:val="5"/>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法定赔偿/裁量性赔偿</w:t>
      </w:r>
      <w:r>
        <w:rPr>
          <w:rFonts w:hint="eastAsia" w:ascii="仿宋" w:hAnsi="仿宋" w:eastAsia="仿宋" w:cs="仿宋"/>
          <w:color w:val="000000" w:themeColor="text1"/>
          <w:sz w:val="24"/>
          <w:szCs w:val="24"/>
          <w14:textFill>
            <w14:solidFill>
              <w14:schemeClr w14:val="tx1"/>
            </w14:solidFill>
          </w14:textFill>
        </w:rPr>
        <w:t>：当上述三项均难以确定时，由法院根据侵权行为情节，在</w:t>
      </w:r>
      <w:r>
        <w:rPr>
          <w:rFonts w:hint="eastAsia" w:ascii="仿宋" w:hAnsi="仿宋" w:eastAsia="仿宋" w:cs="仿宋"/>
          <w:b/>
          <w:bCs/>
          <w:color w:val="000000" w:themeColor="text1"/>
          <w:sz w:val="24"/>
          <w:szCs w:val="24"/>
          <w14:textFill>
            <w14:solidFill>
              <w14:schemeClr w14:val="tx1"/>
            </w14:solidFill>
          </w14:textFill>
        </w:rPr>
        <w:t>人民币500元以上500万元以下</w:t>
      </w:r>
      <w:r>
        <w:rPr>
          <w:rFonts w:hint="eastAsia" w:ascii="仿宋" w:hAnsi="仿宋" w:eastAsia="仿宋" w:cs="仿宋"/>
          <w:color w:val="000000" w:themeColor="text1"/>
          <w:sz w:val="24"/>
          <w:szCs w:val="24"/>
          <w14:textFill>
            <w14:solidFill>
              <w14:schemeClr w14:val="tx1"/>
            </w14:solidFill>
          </w14:textFill>
        </w:rPr>
        <w:t>酌情确定。若有证据证明损失或获利</w:t>
      </w:r>
      <w:r>
        <w:rPr>
          <w:rFonts w:hint="eastAsia" w:ascii="仿宋" w:hAnsi="仿宋" w:eastAsia="仿宋" w:cs="仿宋"/>
          <w:b/>
          <w:bCs/>
          <w:color w:val="000000" w:themeColor="text1"/>
          <w:sz w:val="24"/>
          <w:szCs w:val="24"/>
          <w14:textFill>
            <w14:solidFill>
              <w14:schemeClr w14:val="tx1"/>
            </w14:solidFill>
          </w14:textFill>
        </w:rPr>
        <w:t>明显超过法定赔偿上限</w:t>
      </w:r>
      <w:r>
        <w:rPr>
          <w:rFonts w:hint="eastAsia" w:ascii="仿宋" w:hAnsi="仿宋" w:eastAsia="仿宋" w:cs="仿宋"/>
          <w:color w:val="000000" w:themeColor="text1"/>
          <w:sz w:val="24"/>
          <w:szCs w:val="24"/>
          <w14:textFill>
            <w14:solidFill>
              <w14:schemeClr w14:val="tx1"/>
            </w14:solidFill>
          </w14:textFill>
        </w:rPr>
        <w:t>，法院可在上限之上</w:t>
      </w:r>
      <w:r>
        <w:rPr>
          <w:rFonts w:hint="eastAsia" w:ascii="仿宋" w:hAnsi="仿宋" w:eastAsia="仿宋" w:cs="仿宋"/>
          <w:b/>
          <w:bCs/>
          <w:color w:val="000000" w:themeColor="text1"/>
          <w:sz w:val="24"/>
          <w:szCs w:val="24"/>
          <w14:textFill>
            <w14:solidFill>
              <w14:schemeClr w14:val="tx1"/>
            </w14:solidFill>
          </w14:textFill>
        </w:rPr>
        <w:t>裁量确定</w:t>
      </w:r>
      <w:r>
        <w:rPr>
          <w:rFonts w:hint="eastAsia" w:ascii="仿宋" w:hAnsi="仿宋" w:eastAsia="仿宋" w:cs="仿宋"/>
          <w:color w:val="000000" w:themeColor="text1"/>
          <w:sz w:val="24"/>
          <w:szCs w:val="24"/>
          <w14:textFill>
            <w14:solidFill>
              <w14:schemeClr w14:val="tx1"/>
            </w14:solidFill>
          </w14:textFill>
        </w:rPr>
        <w:t>更高数额。</w:t>
      </w:r>
    </w:p>
    <w:p w14:paraId="7B3F234C">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惩罚性赔偿的适用</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对于</w:t>
      </w:r>
      <w:r>
        <w:rPr>
          <w:rFonts w:hint="eastAsia" w:ascii="仿宋" w:hAnsi="仿宋" w:eastAsia="仿宋" w:cs="仿宋"/>
          <w:b/>
          <w:bCs/>
          <w:color w:val="000000" w:themeColor="text1"/>
          <w:sz w:val="24"/>
          <w:szCs w:val="24"/>
          <w14:textFill>
            <w14:solidFill>
              <w14:schemeClr w14:val="tx1"/>
            </w14:solidFill>
          </w14:textFill>
        </w:rPr>
        <w:t>故意</w:t>
      </w:r>
      <w:r>
        <w:rPr>
          <w:rFonts w:hint="eastAsia" w:ascii="仿宋" w:hAnsi="仿宋" w:eastAsia="仿宋" w:cs="仿宋"/>
          <w:color w:val="000000" w:themeColor="text1"/>
          <w:sz w:val="24"/>
          <w:szCs w:val="24"/>
          <w14:textFill>
            <w14:solidFill>
              <w14:schemeClr w14:val="tx1"/>
            </w14:solidFill>
          </w14:textFill>
        </w:rPr>
        <w:t>侵权且</w:t>
      </w:r>
      <w:r>
        <w:rPr>
          <w:rFonts w:hint="eastAsia" w:ascii="仿宋" w:hAnsi="仿宋" w:eastAsia="仿宋" w:cs="仿宋"/>
          <w:b/>
          <w:bCs/>
          <w:color w:val="000000" w:themeColor="text1"/>
          <w:sz w:val="24"/>
          <w:szCs w:val="24"/>
          <w14:textFill>
            <w14:solidFill>
              <w14:schemeClr w14:val="tx1"/>
            </w14:solidFill>
          </w14:textFill>
        </w:rPr>
        <w:t>情节严重</w:t>
      </w:r>
      <w:r>
        <w:rPr>
          <w:rFonts w:hint="eastAsia" w:ascii="仿宋" w:hAnsi="仿宋" w:eastAsia="仿宋" w:cs="仿宋"/>
          <w:color w:val="000000" w:themeColor="text1"/>
          <w:sz w:val="24"/>
          <w:szCs w:val="24"/>
          <w14:textFill>
            <w14:solidFill>
              <w14:schemeClr w14:val="tx1"/>
            </w14:solidFill>
          </w14:textFill>
        </w:rPr>
        <w:t>的，权利人可以请求在根据上述第1、2、3种方法确定的赔偿数额的</w:t>
      </w:r>
      <w:r>
        <w:rPr>
          <w:rFonts w:hint="eastAsia" w:ascii="仿宋" w:hAnsi="仿宋" w:eastAsia="仿宋" w:cs="仿宋"/>
          <w:b/>
          <w:bCs/>
          <w:color w:val="000000" w:themeColor="text1"/>
          <w:sz w:val="24"/>
          <w:szCs w:val="24"/>
          <w14:textFill>
            <w14:solidFill>
              <w14:schemeClr w14:val="tx1"/>
            </w14:solidFill>
          </w14:textFill>
        </w:rPr>
        <w:t>一倍以上五倍以下</w:t>
      </w:r>
      <w:r>
        <w:rPr>
          <w:rFonts w:hint="eastAsia" w:ascii="仿宋" w:hAnsi="仿宋" w:eastAsia="仿宋" w:cs="仿宋"/>
          <w:color w:val="000000" w:themeColor="text1"/>
          <w:sz w:val="24"/>
          <w:szCs w:val="24"/>
          <w14:textFill>
            <w14:solidFill>
              <w14:schemeClr w14:val="tx1"/>
            </w14:solidFill>
          </w14:textFill>
        </w:rPr>
        <w:t>适用惩罚性赔偿。</w:t>
      </w:r>
      <w:r>
        <w:rPr>
          <w:rFonts w:hint="eastAsia" w:ascii="仿宋" w:hAnsi="仿宋" w:eastAsia="仿宋" w:cs="仿宋"/>
          <w:b/>
          <w:bCs/>
          <w:color w:val="000000" w:themeColor="text1"/>
          <w:sz w:val="24"/>
          <w:szCs w:val="24"/>
          <w14:textFill>
            <w14:solidFill>
              <w14:schemeClr w14:val="tx1"/>
            </w14:solidFill>
          </w14:textFill>
        </w:rPr>
        <w:t>主张惩罚性赔偿需以能够确定具体赔偿计算基数为前提</w:t>
      </w:r>
      <w:r>
        <w:rPr>
          <w:rFonts w:hint="eastAsia" w:ascii="仿宋" w:hAnsi="仿宋" w:eastAsia="仿宋" w:cs="仿宋"/>
          <w:color w:val="000000" w:themeColor="text1"/>
          <w:sz w:val="24"/>
          <w:szCs w:val="24"/>
          <w14:textFill>
            <w14:solidFill>
              <w14:schemeClr w14:val="tx1"/>
            </w14:solidFill>
          </w14:textFill>
        </w:rPr>
        <w:t>。</w:t>
      </w:r>
    </w:p>
    <w:p w14:paraId="1A1F9132">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3. </w:t>
      </w:r>
      <w:r>
        <w:rPr>
          <w:rFonts w:hint="eastAsia" w:ascii="仿宋" w:hAnsi="仿宋" w:eastAsia="仿宋" w:cs="仿宋"/>
          <w:b/>
          <w:bCs/>
          <w:color w:val="000000" w:themeColor="text1"/>
          <w:sz w:val="24"/>
          <w:szCs w:val="24"/>
          <w14:textFill>
            <w14:solidFill>
              <w14:schemeClr w14:val="tx1"/>
            </w14:solidFill>
          </w14:textFill>
        </w:rPr>
        <w:t>关键策略</w:t>
      </w:r>
    </w:p>
    <w:p w14:paraId="6AA3344A">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全面主张合理开支</w:t>
      </w:r>
      <w:r>
        <w:rPr>
          <w:rFonts w:hint="eastAsia" w:ascii="仿宋" w:hAnsi="仿宋" w:eastAsia="仿宋" w:cs="仿宋"/>
          <w:color w:val="000000" w:themeColor="text1"/>
          <w:sz w:val="24"/>
          <w:szCs w:val="24"/>
          <w14:textFill>
            <w14:solidFill>
              <w14:schemeClr w14:val="tx1"/>
            </w14:solidFill>
          </w14:textFill>
        </w:rPr>
        <w:t>：将所有维权产生的合理费用单独列明并提供凭证，这部分法院在判决中均会予以支持。</w:t>
      </w:r>
    </w:p>
    <w:p w14:paraId="665FBF29">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善用证据披露与举证妨碍制度</w:t>
      </w:r>
      <w:r>
        <w:rPr>
          <w:rFonts w:hint="eastAsia" w:ascii="仿宋" w:hAnsi="仿宋" w:eastAsia="仿宋" w:cs="仿宋"/>
          <w:color w:val="000000" w:themeColor="text1"/>
          <w:sz w:val="24"/>
          <w:szCs w:val="24"/>
          <w14:textFill>
            <w14:solidFill>
              <w14:schemeClr w14:val="tx1"/>
            </w14:solidFill>
          </w14:textFill>
        </w:rPr>
        <w:t>：积极申请法院责令被告提供反映其获利情况的财务资料。</w:t>
      </w:r>
    </w:p>
    <w:bookmarkEnd w:id="26"/>
    <w:p w14:paraId="7993C152">
      <w:pPr>
        <w:pStyle w:val="5"/>
        <w:rPr>
          <w:rFonts w:hint="eastAsia" w:ascii="仿宋" w:hAnsi="仿宋" w:eastAsia="仿宋" w:cs="仿宋"/>
          <w:color w:val="000000" w:themeColor="text1"/>
          <w:sz w:val="24"/>
          <w:szCs w:val="24"/>
          <w14:textFill>
            <w14:solidFill>
              <w14:schemeClr w14:val="tx1"/>
            </w14:solidFill>
          </w14:textFill>
        </w:rPr>
      </w:pPr>
      <w:bookmarkStart w:id="27" w:name="五-临时禁令的运用寻求及时的紧急救济"/>
      <w:r>
        <w:rPr>
          <w:rFonts w:hint="eastAsia" w:ascii="仿宋" w:hAnsi="仿宋" w:eastAsia="仿宋" w:cs="仿宋"/>
          <w:b/>
          <w:bCs/>
          <w:color w:val="000000" w:themeColor="text1"/>
          <w:sz w:val="24"/>
          <w:szCs w:val="24"/>
          <w14:textFill>
            <w14:solidFill>
              <w14:schemeClr w14:val="tx1"/>
            </w14:solidFill>
          </w14:textFill>
        </w:rPr>
        <w:t>五、</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临时禁令的运用：寻求及时的“紧急救济”</w:t>
      </w:r>
    </w:p>
    <w:p w14:paraId="1C9C3B4C">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在情况紧急时，权利人可在诉前或诉中向法院申请行为保全（临时禁令），责令被申请人立即停止涉嫌侵权的行为。</w:t>
      </w:r>
    </w:p>
    <w:p w14:paraId="3149FB34">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申请核心条件</w:t>
      </w:r>
    </w:p>
    <w:p w14:paraId="1A07E830">
      <w:pPr>
        <w:pStyle w:val="26"/>
        <w:numPr>
          <w:ilvl w:val="0"/>
          <w:numId w:val="6"/>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权利基础稳定</w:t>
      </w:r>
      <w:r>
        <w:rPr>
          <w:rFonts w:hint="eastAsia" w:ascii="仿宋" w:hAnsi="仿宋" w:eastAsia="仿宋" w:cs="仿宋"/>
          <w:color w:val="000000" w:themeColor="text1"/>
          <w:sz w:val="24"/>
          <w:szCs w:val="24"/>
          <w14:textFill>
            <w14:solidFill>
              <w14:schemeClr w14:val="tx1"/>
            </w14:solidFill>
          </w14:textFill>
        </w:rPr>
        <w:t>：申请人是著作权人或利害关系人，权属清晰。</w:t>
      </w:r>
    </w:p>
    <w:p w14:paraId="744F57F5">
      <w:pPr>
        <w:pStyle w:val="26"/>
        <w:numPr>
          <w:ilvl w:val="0"/>
          <w:numId w:val="6"/>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侵权行为正在发生或即将发生</w:t>
      </w:r>
      <w:r>
        <w:rPr>
          <w:rFonts w:hint="eastAsia" w:ascii="仿宋" w:hAnsi="仿宋" w:eastAsia="仿宋" w:cs="仿宋"/>
          <w:color w:val="000000" w:themeColor="text1"/>
          <w:sz w:val="24"/>
          <w:szCs w:val="24"/>
          <w14:textFill>
            <w14:solidFill>
              <w14:schemeClr w14:val="tx1"/>
            </w14:solidFill>
          </w14:textFill>
        </w:rPr>
        <w:t>。</w:t>
      </w:r>
    </w:p>
    <w:p w14:paraId="1B9031CD">
      <w:pPr>
        <w:pStyle w:val="26"/>
        <w:numPr>
          <w:ilvl w:val="0"/>
          <w:numId w:val="6"/>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“难以弥补的损害”</w:t>
      </w:r>
      <w:r>
        <w:rPr>
          <w:rFonts w:hint="eastAsia" w:ascii="仿宋" w:hAnsi="仿宋" w:eastAsia="仿宋" w:cs="仿宋"/>
          <w:color w:val="000000" w:themeColor="text1"/>
          <w:sz w:val="24"/>
          <w:szCs w:val="24"/>
          <w14:textFill>
            <w14:solidFill>
              <w14:schemeClr w14:val="tx1"/>
            </w14:solidFill>
          </w14:textFill>
        </w:rPr>
        <w:t>：如不立即制止，将导致申请人市场份额永久丧失、商誉受损等无法用金钱弥补的损害。</w:t>
      </w:r>
    </w:p>
    <w:p w14:paraId="06E98A8A">
      <w:pPr>
        <w:pStyle w:val="26"/>
        <w:numPr>
          <w:ilvl w:val="0"/>
          <w:numId w:val="6"/>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情况紧急</w:t>
      </w:r>
      <w:r>
        <w:rPr>
          <w:rFonts w:hint="eastAsia" w:ascii="仿宋" w:hAnsi="仿宋" w:eastAsia="仿宋" w:cs="仿宋"/>
          <w:color w:val="000000" w:themeColor="text1"/>
          <w:sz w:val="24"/>
          <w:szCs w:val="24"/>
          <w14:textFill>
            <w14:solidFill>
              <w14:schemeClr w14:val="tx1"/>
            </w14:solidFill>
          </w14:textFill>
        </w:rPr>
        <w:t>。</w:t>
      </w:r>
    </w:p>
    <w:p w14:paraId="464DF95D">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申请程序与担保</w:t>
      </w:r>
    </w:p>
    <w:p w14:paraId="75A24AB1">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必须提供担保</w:t>
      </w:r>
      <w:r>
        <w:rPr>
          <w:rFonts w:hint="eastAsia" w:ascii="仿宋" w:hAnsi="仿宋" w:eastAsia="仿宋" w:cs="仿宋"/>
          <w:color w:val="000000" w:themeColor="text1"/>
          <w:sz w:val="24"/>
          <w:szCs w:val="24"/>
          <w14:textFill>
            <w14:solidFill>
              <w14:schemeClr w14:val="tx1"/>
            </w14:solidFill>
          </w14:textFill>
        </w:rPr>
        <w:t>：法院会要求申请人提供相当于被申请人因执行禁令可能遭受损失的担保（现金、保函等）。担保数额是否充足是法院审查的重点之一。</w:t>
      </w:r>
    </w:p>
    <w:p w14:paraId="6794AA6A">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审查与裁定</w:t>
      </w:r>
      <w:r>
        <w:rPr>
          <w:rFonts w:hint="eastAsia" w:ascii="仿宋" w:hAnsi="仿宋" w:eastAsia="仿宋" w:cs="仿宋"/>
          <w:color w:val="000000" w:themeColor="text1"/>
          <w:sz w:val="24"/>
          <w:szCs w:val="24"/>
          <w14:textFill>
            <w14:solidFill>
              <w14:schemeClr w14:val="tx1"/>
            </w14:solidFill>
          </w14:textFill>
        </w:rPr>
        <w:t>：法院会审查申请人胜诉可能性、双方损害平衡及公共利益。情况紧急的，可在48小时内作出裁定。</w:t>
      </w:r>
    </w:p>
    <w:bookmarkEnd w:id="27"/>
    <w:p w14:paraId="78B546A1">
      <w:pPr>
        <w:pStyle w:val="5"/>
        <w:rPr>
          <w:rFonts w:hint="eastAsia" w:ascii="仿宋" w:hAnsi="仿宋" w:eastAsia="仿宋" w:cs="仿宋"/>
          <w:color w:val="000000" w:themeColor="text1"/>
          <w:sz w:val="24"/>
          <w:szCs w:val="24"/>
          <w14:textFill>
            <w14:solidFill>
              <w14:schemeClr w14:val="tx1"/>
            </w14:solidFill>
          </w14:textFill>
        </w:rPr>
      </w:pPr>
      <w:bookmarkStart w:id="28" w:name="六-外国当事人的特殊程序合规"/>
      <w:r>
        <w:rPr>
          <w:rFonts w:hint="eastAsia" w:ascii="仿宋" w:hAnsi="仿宋" w:eastAsia="仿宋" w:cs="仿宋"/>
          <w:b/>
          <w:bCs/>
          <w:color w:val="000000" w:themeColor="text1"/>
          <w:sz w:val="24"/>
          <w:szCs w:val="24"/>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外国当事人的特殊程序合规</w:t>
      </w:r>
    </w:p>
    <w:p w14:paraId="340A5EC0">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作为外国权利人参与诉讼，必须严格遵守以下程序性规定：</w:t>
      </w:r>
    </w:p>
    <w:p w14:paraId="34817342">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1. </w:t>
      </w:r>
      <w:r>
        <w:rPr>
          <w:rFonts w:hint="eastAsia" w:ascii="仿宋" w:hAnsi="仿宋" w:eastAsia="仿宋" w:cs="仿宋"/>
          <w:b/>
          <w:bCs/>
          <w:color w:val="000000" w:themeColor="text1"/>
          <w:sz w:val="24"/>
          <w:szCs w:val="24"/>
          <w14:textFill>
            <w14:solidFill>
              <w14:schemeClr w14:val="tx1"/>
            </w14:solidFill>
          </w14:textFill>
        </w:rPr>
        <w:t>主体资格与授权委托</w:t>
      </w:r>
    </w:p>
    <w:p w14:paraId="2026B72C">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委托中国律师</w:t>
      </w:r>
      <w:r>
        <w:rPr>
          <w:rFonts w:hint="eastAsia" w:ascii="仿宋" w:hAnsi="仿宋" w:eastAsia="仿宋" w:cs="仿宋"/>
          <w:color w:val="000000" w:themeColor="text1"/>
          <w:sz w:val="24"/>
          <w:szCs w:val="24"/>
          <w14:textFill>
            <w14:solidFill>
              <w14:schemeClr w14:val="tx1"/>
            </w14:solidFill>
          </w14:textFill>
        </w:rPr>
        <w:t>：在中国法院进行诉讼，</w:t>
      </w:r>
      <w:r>
        <w:rPr>
          <w:rFonts w:hint="eastAsia" w:ascii="仿宋" w:hAnsi="仿宋" w:eastAsia="仿宋" w:cs="仿宋"/>
          <w:b/>
          <w:bCs/>
          <w:color w:val="000000" w:themeColor="text1"/>
          <w:sz w:val="24"/>
          <w:szCs w:val="24"/>
          <w14:textFill>
            <w14:solidFill>
              <w14:schemeClr w14:val="tx1"/>
            </w14:solidFill>
          </w14:textFill>
        </w:rPr>
        <w:t>必须委托中华人民共和国的执业律师</w:t>
      </w:r>
      <w:r>
        <w:rPr>
          <w:rFonts w:hint="eastAsia" w:ascii="仿宋" w:hAnsi="仿宋" w:eastAsia="仿宋" w:cs="仿宋"/>
          <w:color w:val="000000" w:themeColor="text1"/>
          <w:sz w:val="24"/>
          <w:szCs w:val="24"/>
          <w14:textFill>
            <w14:solidFill>
              <w14:schemeClr w14:val="tx1"/>
            </w14:solidFill>
          </w14:textFill>
        </w:rPr>
        <w:t>作为诉讼代理人。</w:t>
      </w:r>
    </w:p>
    <w:p w14:paraId="0E794E6A">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授权委托书的公证认证</w:t>
      </w:r>
      <w:r>
        <w:rPr>
          <w:rFonts w:hint="eastAsia" w:ascii="仿宋" w:hAnsi="仿宋" w:eastAsia="仿宋" w:cs="仿宋"/>
          <w:color w:val="000000" w:themeColor="text1"/>
          <w:sz w:val="24"/>
          <w:szCs w:val="24"/>
          <w14:textFill>
            <w14:solidFill>
              <w14:schemeClr w14:val="tx1"/>
            </w14:solidFill>
          </w14:textFill>
        </w:rPr>
        <w:t>：从</w:t>
      </w:r>
      <w:r>
        <w:rPr>
          <w:rFonts w:hint="eastAsia" w:ascii="仿宋" w:hAnsi="仿宋" w:eastAsia="仿宋" w:cs="仿宋"/>
          <w:b/>
          <w:bCs/>
          <w:color w:val="000000" w:themeColor="text1"/>
          <w:sz w:val="24"/>
          <w:szCs w:val="24"/>
          <w14:textFill>
            <w14:solidFill>
              <w14:schemeClr w14:val="tx1"/>
            </w14:solidFill>
          </w14:textFill>
        </w:rPr>
        <w:t>境外寄交的授权委托书</w:t>
      </w:r>
      <w:r>
        <w:rPr>
          <w:rFonts w:hint="eastAsia" w:ascii="仿宋" w:hAnsi="仿宋" w:eastAsia="仿宋" w:cs="仿宋"/>
          <w:color w:val="000000" w:themeColor="text1"/>
          <w:sz w:val="24"/>
          <w:szCs w:val="24"/>
          <w14:textFill>
            <w14:solidFill>
              <w14:schemeClr w14:val="tx1"/>
            </w14:solidFill>
          </w14:textFill>
        </w:rPr>
        <w:t>，必须经所在国公证机关公证，并经</w:t>
      </w:r>
      <w:r>
        <w:rPr>
          <w:rFonts w:hint="eastAsia" w:ascii="仿宋" w:hAnsi="仿宋" w:eastAsia="仿宋" w:cs="仿宋"/>
          <w:b/>
          <w:bCs/>
          <w:color w:val="000000" w:themeColor="text1"/>
          <w:sz w:val="24"/>
          <w:szCs w:val="24"/>
          <w14:textFill>
            <w14:solidFill>
              <w14:schemeClr w14:val="tx1"/>
            </w14:solidFill>
          </w14:textFill>
        </w:rPr>
        <w:t>中国驻该国使领馆认证</w:t>
      </w:r>
      <w:r>
        <w:rPr>
          <w:rFonts w:hint="eastAsia" w:ascii="仿宋" w:hAnsi="仿宋" w:eastAsia="仿宋" w:cs="仿宋"/>
          <w:color w:val="000000" w:themeColor="text1"/>
          <w:sz w:val="24"/>
          <w:szCs w:val="24"/>
          <w14:textFill>
            <w14:solidFill>
              <w14:schemeClr w14:val="tx1"/>
            </w14:solidFill>
          </w14:textFill>
        </w:rPr>
        <w:t>（即“双认证”）。</w:t>
      </w:r>
    </w:p>
    <w:p w14:paraId="6B5367C8">
      <w:pPr>
        <w:pStyle w:val="26"/>
        <w:numPr>
          <w:ilvl w:val="0"/>
          <w:numId w:val="1"/>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简化程序的情形</w:t>
      </w:r>
      <w:r>
        <w:rPr>
          <w:rFonts w:hint="eastAsia" w:ascii="仿宋" w:hAnsi="仿宋" w:eastAsia="仿宋" w:cs="仿宋"/>
          <w:color w:val="000000" w:themeColor="text1"/>
          <w:sz w:val="24"/>
          <w:szCs w:val="24"/>
          <w14:textFill>
            <w14:solidFill>
              <w14:schemeClr w14:val="tx1"/>
            </w14:solidFill>
          </w14:textFill>
        </w:rPr>
        <w:t>：若授权委托书是在</w:t>
      </w:r>
      <w:r>
        <w:rPr>
          <w:rFonts w:hint="eastAsia" w:ascii="仿宋" w:hAnsi="仿宋" w:eastAsia="仿宋" w:cs="仿宋"/>
          <w:b/>
          <w:bCs/>
          <w:color w:val="000000" w:themeColor="text1"/>
          <w:sz w:val="24"/>
          <w:szCs w:val="24"/>
          <w14:textFill>
            <w14:solidFill>
              <w14:schemeClr w14:val="tx1"/>
            </w14:solidFill>
          </w14:textFill>
        </w:rPr>
        <w:t>中国公证员面前签署</w:t>
      </w:r>
      <w:r>
        <w:rPr>
          <w:rFonts w:hint="eastAsia" w:ascii="仿宋" w:hAnsi="仿宋" w:eastAsia="仿宋" w:cs="仿宋"/>
          <w:color w:val="000000" w:themeColor="text1"/>
          <w:sz w:val="24"/>
          <w:szCs w:val="24"/>
          <w14:textFill>
            <w14:solidFill>
              <w14:schemeClr w14:val="tx1"/>
            </w14:solidFill>
          </w14:textFill>
        </w:rPr>
        <w:t>，或是在</w:t>
      </w:r>
      <w:r>
        <w:rPr>
          <w:rFonts w:hint="eastAsia" w:ascii="仿宋" w:hAnsi="仿宋" w:eastAsia="仿宋" w:cs="仿宋"/>
          <w:b/>
          <w:bCs/>
          <w:color w:val="000000" w:themeColor="text1"/>
          <w:sz w:val="24"/>
          <w:szCs w:val="24"/>
          <w14:textFill>
            <w14:solidFill>
              <w14:schemeClr w14:val="tx1"/>
            </w14:solidFill>
          </w14:textFill>
        </w:rPr>
        <w:t>中国境内签署并经中国公证机构公证</w:t>
      </w:r>
      <w:r>
        <w:rPr>
          <w:rFonts w:hint="eastAsia" w:ascii="仿宋" w:hAnsi="仿宋" w:eastAsia="仿宋" w:cs="仿宋"/>
          <w:color w:val="000000" w:themeColor="text1"/>
          <w:sz w:val="24"/>
          <w:szCs w:val="24"/>
          <w14:textFill>
            <w14:solidFill>
              <w14:schemeClr w14:val="tx1"/>
            </w14:solidFill>
          </w14:textFill>
        </w:rPr>
        <w:t>，且能证明签署人身份与权限的，可免于在境外办理公证认证。</w:t>
      </w:r>
    </w:p>
    <w:p w14:paraId="09EAF486">
      <w:pPr>
        <w:pStyle w:val="25"/>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2. </w:t>
      </w:r>
      <w:r>
        <w:rPr>
          <w:rFonts w:hint="eastAsia" w:ascii="仿宋" w:hAnsi="仿宋" w:eastAsia="仿宋" w:cs="仿宋"/>
          <w:b/>
          <w:bCs/>
          <w:color w:val="000000" w:themeColor="text1"/>
          <w:sz w:val="24"/>
          <w:szCs w:val="24"/>
          <w14:textFill>
            <w14:solidFill>
              <w14:schemeClr w14:val="tx1"/>
            </w14:solidFill>
          </w14:textFill>
        </w:rPr>
        <w:t>证据与材料的翻译</w:t>
      </w:r>
      <w:r>
        <w:rPr>
          <w:rFonts w:hint="eastAsia" w:ascii="仿宋" w:hAnsi="仿宋" w:eastAsia="仿宋" w:cs="仿宋"/>
          <w:color w:val="000000" w:themeColor="text1"/>
          <w:sz w:val="24"/>
          <w:szCs w:val="24"/>
          <w14:textFill>
            <w14:solidFill>
              <w14:schemeClr w14:val="tx1"/>
            </w14:solidFill>
          </w14:textFill>
        </w:rPr>
        <w:br w:type="textWrapping"/>
      </w:r>
      <w:r>
        <w:rPr>
          <w:rFonts w:hint="eastAsia" w:ascii="仿宋" w:hAnsi="仿宋" w:eastAsia="仿宋" w:cs="仿宋"/>
          <w:color w:val="000000" w:themeColor="text1"/>
          <w:sz w:val="24"/>
          <w:szCs w:val="24"/>
          <w14:textFill>
            <w14:solidFill>
              <w14:schemeClr w14:val="tx1"/>
            </w14:solidFill>
          </w14:textFill>
        </w:rPr>
        <w:t>所有向法院提交的外文证据材料及书状，</w:t>
      </w:r>
      <w:r>
        <w:rPr>
          <w:rFonts w:hint="eastAsia" w:ascii="仿宋" w:hAnsi="仿宋" w:eastAsia="仿宋" w:cs="仿宋"/>
          <w:b/>
          <w:bCs/>
          <w:color w:val="000000" w:themeColor="text1"/>
          <w:sz w:val="24"/>
          <w:szCs w:val="24"/>
          <w14:textFill>
            <w14:solidFill>
              <w14:schemeClr w14:val="tx1"/>
            </w14:solidFill>
          </w14:textFill>
        </w:rPr>
        <w:t>均需同时提交中文翻译件</w:t>
      </w:r>
      <w:r>
        <w:rPr>
          <w:rFonts w:hint="eastAsia" w:ascii="仿宋" w:hAnsi="仿宋" w:eastAsia="仿宋" w:cs="仿宋"/>
          <w:color w:val="000000" w:themeColor="text1"/>
          <w:sz w:val="24"/>
          <w:szCs w:val="24"/>
          <w14:textFill>
            <w14:solidFill>
              <w14:schemeClr w14:val="tx1"/>
            </w14:solidFill>
          </w14:textFill>
        </w:rPr>
        <w:t>。</w:t>
      </w:r>
    </w:p>
    <w:p w14:paraId="5A05291A">
      <w:pPr>
        <w:pStyle w:val="3"/>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通过系统性地遵循上述流程与策略，外国著作权权利人能够在中国法院有效提起和推进诉讼，维护自身合法权益。诉讼不仅是获得赔偿的途径，其生效判决本身也具有强大的威慑力，并能与海关保护等行政措施形成合力，构建全方位的知识产权保护网络。</w:t>
      </w:r>
    </w:p>
    <w:bookmarkEnd w:id="22"/>
    <w:bookmarkEnd w:id="28"/>
    <w:p w14:paraId="7228DCAC">
      <w:pPr>
        <w:pStyle w:val="3"/>
        <w:rPr>
          <w:rFonts w:hint="eastAsia" w:ascii="仿宋" w:hAnsi="仿宋" w:eastAsia="仿宋" w:cs="仿宋"/>
          <w:color w:val="000000" w:themeColor="text1"/>
          <w:sz w:val="24"/>
          <w:szCs w:val="24"/>
          <w14:textFill>
            <w14:solidFill>
              <w14:schemeClr w14:val="tx1"/>
            </w14:solidFill>
          </w14:textFill>
        </w:rPr>
      </w:pPr>
    </w:p>
    <w:bookmarkEnd w:id="1"/>
    <w:bookmarkEnd w:id="2"/>
    <w:bookmarkEnd w:id="3"/>
    <w:sectPr>
      <w:footerReference r:id="rId4" w:type="default"/>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20B0004020202020204"/>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Aptos Display">
    <w:altName w:val="Segoe Print"/>
    <w:panose1 w:val="020B0004020202020204"/>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9DCB">
    <w:pPr>
      <w:pStyle w:val="16"/>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E9C717">
                <w:pPr>
                  <w:pStyle w:val="16"/>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1">
    <w:nsid w:val="00A99201"/>
    <w:multiLevelType w:val="multilevel"/>
    <w:tmpl w:val="00A992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lef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lef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hdrShapeDefaults>
    <o:shapelayout v:ext="edit">
      <o:idmap v:ext="edit" data="2"/>
    </o:shapelayout>
  </w:hdrShapeDefaults>
  <w:footnotePr>
    <w:numRestart w:val="eachSect"/>
    <w:footnote w:id="0"/>
    <w:footnote w:id="1"/>
  </w:footnotePr>
  <w:compat>
    <w:useFELayout/>
    <w:splitPgBreakAndParaMark/>
    <w:compatSetting w:name="compatibilityMode" w:uri="http://schemas.microsoft.com/office/word" w:val="12"/>
  </w:compat>
  <w:rsids>
    <w:rsidRoot w:val="00000000"/>
    <w:rsid w:val="3BC116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EastAsia" w:cstheme="minorBidi"/>
      <w:sz w:val="24"/>
      <w:szCs w:val="24"/>
      <w:lang w:val="en" w:eastAsia="zh-CN" w:bidi="ar-SA"/>
    </w:rPr>
  </w:style>
  <w:style w:type="paragraph" w:styleId="2">
    <w:name w:val="heading 1"/>
    <w:basedOn w:val="1"/>
    <w:next w:val="3"/>
    <w:link w:val="33"/>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5"/>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6"/>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7"/>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4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4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21">
    <w:name w:val="Default Paragraph Font"/>
    <w:semiHidden/>
    <w:unhideWhenUsed/>
    <w:qFormat/>
    <w:uiPriority w:val="0"/>
  </w:style>
  <w:style w:type="table" w:default="1" w:styleId="20">
    <w:name w:val="Normal Table"/>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pPr>
  </w:style>
  <w:style w:type="paragraph" w:styleId="12">
    <w:name w:val="caption"/>
    <w:basedOn w:val="1"/>
    <w:qFormat/>
    <w:uiPriority w:val="0"/>
    <w:pPr>
      <w:spacing w:before="0" w:after="120"/>
    </w:pPr>
    <w:rPr>
      <w:i/>
    </w:rPr>
  </w:style>
  <w:style w:type="paragraph" w:styleId="13">
    <w:name w:val="Block Text"/>
    <w:basedOn w:val="3"/>
    <w:next w:val="3"/>
    <w:unhideWhenUsed/>
    <w:qFormat/>
    <w:uiPriority w:val="9"/>
    <w:pPr>
      <w:spacing w:before="100" w:after="100"/>
      <w:ind w:left="480" w:right="480" w:firstLine="0"/>
    </w:pPr>
  </w:style>
  <w:style w:type="paragraph" w:styleId="14">
    <w:name w:val="Date"/>
    <w:basedOn w:val="15"/>
    <w:next w:val="3"/>
    <w:qFormat/>
    <w:uiPriority w:val="0"/>
    <w:pPr>
      <w:keepNext/>
      <w:keepLines/>
    </w:pPr>
    <w:rPr>
      <w:sz w:val="24"/>
      <w:szCs w:val="24"/>
    </w:rPr>
  </w:style>
  <w:style w:type="paragraph" w:styleId="15">
    <w:name w:val="Title"/>
    <w:basedOn w:val="1"/>
    <w:next w:val="3"/>
    <w:link w:val="27"/>
    <w:qFormat/>
    <w:uiPriority w:val="10"/>
    <w:pPr>
      <w:spacing w:after="80" w:line="240" w:lineRule="auto"/>
      <w:contextualSpacing/>
      <w:jc w:val="center"/>
    </w:pPr>
    <w:rPr>
      <w:rFonts w:asciiTheme="majorHAnsi" w:hAnsiTheme="majorHAnsi" w:eastAsiaTheme="majorEastAsia" w:cstheme="majorBidi"/>
      <w:sz w:val="56"/>
      <w:szCs w:val="56"/>
    </w:rPr>
  </w:style>
  <w:style w:type="paragraph" w:styleId="16">
    <w:name w:val="footer"/>
    <w:basedOn w:val="1"/>
    <w:uiPriority w:val="0"/>
    <w:pPr>
      <w:tabs>
        <w:tab w:val="center" w:pos="4153"/>
        <w:tab w:val="right" w:pos="8306"/>
      </w:tabs>
      <w:snapToGrid w:val="0"/>
      <w:jc w:val="left"/>
    </w:pPr>
    <w:rPr>
      <w:sz w:val="18"/>
    </w:rPr>
  </w:style>
  <w:style w:type="paragraph" w:styleId="1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5"/>
    <w:next w:val="3"/>
    <w:link w:val="28"/>
    <w:qFormat/>
    <w:uiPriority w:val="11"/>
    <w:rPr>
      <w:rFonts w:eastAsiaTheme="majorEastAsia" w:cstheme="majorBidi"/>
      <w:spacing w:val="15"/>
      <w:sz w:val="28"/>
      <w:szCs w:val="28"/>
    </w:rPr>
  </w:style>
  <w:style w:type="paragraph" w:styleId="19">
    <w:name w:val="footnote text"/>
    <w:basedOn w:val="1"/>
    <w:unhideWhenUsed/>
    <w:qFormat/>
    <w:uiPriority w:val="9"/>
  </w:style>
  <w:style w:type="character" w:styleId="22">
    <w:name w:val="Hyperlink"/>
    <w:basedOn w:val="23"/>
    <w:qFormat/>
    <w:uiPriority w:val="0"/>
    <w:rPr>
      <w:color w:val="156082" w:themeColor="accent1"/>
    </w:rPr>
  </w:style>
  <w:style w:type="character" w:customStyle="1" w:styleId="23">
    <w:name w:val="Body Text Char"/>
    <w:basedOn w:val="21"/>
    <w:link w:val="3"/>
    <w:qFormat/>
    <w:uiPriority w:val="0"/>
  </w:style>
  <w:style w:type="character" w:styleId="24">
    <w:name w:val="footnote reference"/>
    <w:basedOn w:val="23"/>
    <w:qFormat/>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character" w:customStyle="1" w:styleId="27">
    <w:name w:val="Title Char"/>
    <w:basedOn w:val="21"/>
    <w:link w:val="15"/>
    <w:uiPriority w:val="10"/>
    <w:rPr>
      <w:rFonts w:asciiTheme="majorHAnsi" w:hAnsiTheme="majorHAnsi" w:eastAsiaTheme="majorEastAsia" w:cstheme="majorBidi"/>
      <w:sz w:val="56"/>
      <w:szCs w:val="56"/>
    </w:rPr>
  </w:style>
  <w:style w:type="character" w:customStyle="1" w:styleId="28">
    <w:name w:val="Subtitle Char"/>
    <w:basedOn w:val="21"/>
    <w:link w:val="18"/>
    <w:qFormat/>
    <w:uiPriority w:val="11"/>
    <w:rPr>
      <w:rFonts w:eastAsiaTheme="majorEastAsia" w:cstheme="majorBidi"/>
      <w:color w:val="585858" w:themeColor="text1" w:themeTint="A6"/>
      <w:spacing w:val="15"/>
      <w:sz w:val="28"/>
      <w:szCs w:val="28"/>
    </w:rPr>
  </w:style>
  <w:style w:type="paragraph" w:customStyle="1" w:styleId="29">
    <w:name w:val="Author"/>
    <w:basedOn w:val="15"/>
    <w:next w:val="3"/>
    <w:qFormat/>
    <w:uiPriority w:val="0"/>
    <w:pPr>
      <w:keepNext/>
      <w:keepLines/>
    </w:pPr>
    <w:rPr>
      <w:sz w:val="24"/>
      <w:szCs w:val="24"/>
    </w:rPr>
  </w:style>
  <w:style w:type="paragraph" w:customStyle="1" w:styleId="30">
    <w:name w:val="Abstract Title"/>
    <w:basedOn w:val="1"/>
    <w:next w:val="31"/>
    <w:qFormat/>
    <w:uiPriority w:val="0"/>
    <w:pPr>
      <w:keepNext/>
      <w:keepLines/>
      <w:spacing w:before="300" w:after="0"/>
      <w:jc w:val="center"/>
    </w:pPr>
    <w:rPr>
      <w:b/>
      <w:sz w:val="20"/>
      <w:szCs w:val="20"/>
    </w:rPr>
  </w:style>
  <w:style w:type="paragraph" w:customStyle="1" w:styleId="31">
    <w:name w:val="Abstract"/>
    <w:basedOn w:val="1"/>
    <w:next w:val="3"/>
    <w:qFormat/>
    <w:uiPriority w:val="0"/>
    <w:pPr>
      <w:keepNext/>
      <w:keepLines/>
      <w:spacing w:before="100" w:after="300"/>
    </w:pPr>
    <w:rPr>
      <w:sz w:val="20"/>
      <w:szCs w:val="20"/>
    </w:rPr>
  </w:style>
  <w:style w:type="paragraph" w:customStyle="1" w:styleId="32">
    <w:name w:val="Bibliography"/>
    <w:basedOn w:val="1"/>
    <w:qFormat/>
    <w:uiPriority w:val="0"/>
  </w:style>
  <w:style w:type="character" w:customStyle="1" w:styleId="33">
    <w:name w:val="Heading 1 Char"/>
    <w:basedOn w:val="21"/>
    <w:link w:val="2"/>
    <w:qFormat/>
    <w:uiPriority w:val="9"/>
    <w:rPr>
      <w:rFonts w:asciiTheme="majorHAnsi" w:hAnsiTheme="majorHAnsi" w:eastAsiaTheme="majorEastAsia" w:cstheme="majorBidi"/>
      <w:color w:val="0F4761" w:themeColor="accent1" w:themeShade="BF"/>
      <w:sz w:val="40"/>
      <w:szCs w:val="40"/>
    </w:rPr>
  </w:style>
  <w:style w:type="character" w:customStyle="1" w:styleId="34">
    <w:name w:val="Heading 2 Char"/>
    <w:basedOn w:val="21"/>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35">
    <w:name w:val="Heading 3 Char"/>
    <w:basedOn w:val="21"/>
    <w:link w:val="5"/>
    <w:semiHidden/>
    <w:qFormat/>
    <w:uiPriority w:val="9"/>
    <w:rPr>
      <w:rFonts w:eastAsiaTheme="majorEastAsia" w:cstheme="majorBidi"/>
      <w:color w:val="0F4761" w:themeColor="accent1" w:themeShade="BF"/>
      <w:sz w:val="28"/>
      <w:szCs w:val="28"/>
    </w:rPr>
  </w:style>
  <w:style w:type="character" w:customStyle="1" w:styleId="36">
    <w:name w:val="Heading 4 Char"/>
    <w:basedOn w:val="21"/>
    <w:link w:val="6"/>
    <w:semiHidden/>
    <w:qFormat/>
    <w:uiPriority w:val="9"/>
    <w:rPr>
      <w:rFonts w:eastAsiaTheme="majorEastAsia" w:cstheme="majorBidi"/>
      <w:i/>
      <w:iCs/>
      <w:color w:val="0F4761" w:themeColor="accent1" w:themeShade="BF"/>
    </w:rPr>
  </w:style>
  <w:style w:type="character" w:customStyle="1" w:styleId="37">
    <w:name w:val="Heading 5 Char"/>
    <w:basedOn w:val="21"/>
    <w:link w:val="7"/>
    <w:semiHidden/>
    <w:qFormat/>
    <w:uiPriority w:val="9"/>
    <w:rPr>
      <w:rFonts w:eastAsiaTheme="majorEastAsia" w:cstheme="majorBidi"/>
      <w:color w:val="0F4761" w:themeColor="accent1" w:themeShade="BF"/>
    </w:rPr>
  </w:style>
  <w:style w:type="character" w:customStyle="1" w:styleId="38">
    <w:name w:val="Heading 6 Char"/>
    <w:basedOn w:val="21"/>
    <w:link w:val="8"/>
    <w:semiHidden/>
    <w:qFormat/>
    <w:uiPriority w:val="9"/>
    <w:rPr>
      <w:rFonts w:eastAsiaTheme="majorEastAsia" w:cstheme="majorBidi"/>
      <w:i/>
      <w:iCs/>
      <w:color w:val="585858" w:themeColor="text1" w:themeTint="A6"/>
    </w:rPr>
  </w:style>
  <w:style w:type="character" w:customStyle="1" w:styleId="39">
    <w:name w:val="Heading 7 Char"/>
    <w:basedOn w:val="21"/>
    <w:link w:val="9"/>
    <w:semiHidden/>
    <w:qFormat/>
    <w:uiPriority w:val="9"/>
    <w:rPr>
      <w:rFonts w:eastAsiaTheme="majorEastAsia" w:cstheme="majorBidi"/>
      <w:color w:val="585858" w:themeColor="text1" w:themeTint="A6"/>
    </w:rPr>
  </w:style>
  <w:style w:type="character" w:customStyle="1" w:styleId="40">
    <w:name w:val="Heading 8 Char"/>
    <w:basedOn w:val="21"/>
    <w:link w:val="10"/>
    <w:semiHidden/>
    <w:qFormat/>
    <w:uiPriority w:val="9"/>
    <w:rPr>
      <w:rFonts w:eastAsiaTheme="majorEastAsia" w:cstheme="majorBidi"/>
      <w:i/>
      <w:iCs/>
      <w:color w:val="262626" w:themeColor="text1" w:themeTint="D8"/>
    </w:rPr>
  </w:style>
  <w:style w:type="character" w:customStyle="1" w:styleId="41">
    <w:name w:val="Heading 9 Char"/>
    <w:basedOn w:val="21"/>
    <w:link w:val="11"/>
    <w:semiHidden/>
    <w:qFormat/>
    <w:uiPriority w:val="9"/>
    <w:rPr>
      <w:rFonts w:eastAsiaTheme="majorEastAsia" w:cstheme="majorBidi"/>
      <w:color w:val="262626" w:themeColor="text1" w:themeTint="D8"/>
    </w:rPr>
  </w:style>
  <w:style w:type="paragraph" w:customStyle="1" w:styleId="42">
    <w:name w:val="Footnote Block Text"/>
    <w:basedOn w:val="19"/>
    <w:next w:val="19"/>
    <w:unhideWhenUsed/>
    <w:qFormat/>
    <w:uiPriority w:val="9"/>
    <w:pPr>
      <w:spacing w:before="100" w:after="100"/>
      <w:ind w:left="480" w:right="480" w:firstLine="0"/>
    </w:pPr>
  </w:style>
  <w:style w:type="table" w:customStyle="1" w:styleId="43">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4">
    <w:name w:val="Definition Term"/>
    <w:basedOn w:val="1"/>
    <w:next w:val="45"/>
    <w:qFormat/>
    <w:uiPriority w:val="0"/>
    <w:pPr>
      <w:keepNext/>
      <w:keepLines/>
      <w:spacing w:after="0"/>
    </w:pPr>
    <w:rPr>
      <w:b/>
    </w:rPr>
  </w:style>
  <w:style w:type="paragraph" w:customStyle="1" w:styleId="45">
    <w:name w:val="Definition"/>
    <w:basedOn w:val="1"/>
    <w:qFormat/>
    <w:uiPriority w:val="0"/>
  </w:style>
  <w:style w:type="paragraph" w:customStyle="1" w:styleId="46">
    <w:name w:val="Table Caption"/>
    <w:basedOn w:val="12"/>
    <w:qFormat/>
    <w:uiPriority w:val="0"/>
    <w:pPr>
      <w:keepNext/>
    </w:pPr>
  </w:style>
  <w:style w:type="paragraph" w:customStyle="1" w:styleId="47">
    <w:name w:val="Image Caption"/>
    <w:basedOn w:val="12"/>
    <w:qFormat/>
    <w:uiPriority w:val="0"/>
  </w:style>
  <w:style w:type="paragraph" w:customStyle="1" w:styleId="48">
    <w:name w:val="Figure"/>
    <w:basedOn w:val="1"/>
    <w:qFormat/>
    <w:uiPriority w:val="0"/>
  </w:style>
  <w:style w:type="paragraph" w:customStyle="1" w:styleId="49">
    <w:name w:val="Captioned Figure"/>
    <w:basedOn w:val="48"/>
    <w:qFormat/>
    <w:uiPriority w:val="0"/>
    <w:pPr>
      <w:keepNext/>
    </w:pPr>
  </w:style>
  <w:style w:type="character" w:customStyle="1" w:styleId="50">
    <w:name w:val="Verbatim Char"/>
    <w:basedOn w:val="23"/>
    <w:link w:val="51"/>
    <w:qFormat/>
    <w:uiPriority w:val="0"/>
    <w:rPr>
      <w:rFonts w:ascii="Consolas" w:hAnsi="Consolas"/>
      <w:sz w:val="22"/>
    </w:rPr>
  </w:style>
  <w:style w:type="paragraph" w:customStyle="1" w:styleId="51">
    <w:name w:val="Source Code"/>
    <w:basedOn w:val="1"/>
    <w:link w:val="50"/>
    <w:qFormat/>
    <w:uiPriority w:val="0"/>
    <w:pPr>
      <w:wordWrap w:val="0"/>
    </w:pPr>
  </w:style>
  <w:style w:type="character" w:customStyle="1" w:styleId="52">
    <w:name w:val="Section Number"/>
    <w:basedOn w:val="23"/>
    <w:qFormat/>
    <w:uiPriority w:val="0"/>
  </w:style>
  <w:style w:type="paragraph" w:customStyle="1" w:styleId="53">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 w:type="character" w:customStyle="1" w:styleId="54">
    <w:name w:val="KeywordTok"/>
    <w:basedOn w:val="50"/>
    <w:qFormat/>
    <w:uiPriority w:val="0"/>
    <w:rPr>
      <w:b/>
      <w:color w:val="007020"/>
    </w:rPr>
  </w:style>
  <w:style w:type="character" w:customStyle="1" w:styleId="55">
    <w:name w:val="DataTypeTok"/>
    <w:basedOn w:val="50"/>
    <w:qFormat/>
    <w:uiPriority w:val="0"/>
    <w:rPr>
      <w:color w:val="902000"/>
    </w:rPr>
  </w:style>
  <w:style w:type="character" w:customStyle="1" w:styleId="56">
    <w:name w:val="DecValTok"/>
    <w:basedOn w:val="50"/>
    <w:qFormat/>
    <w:uiPriority w:val="0"/>
    <w:rPr>
      <w:color w:val="40A070"/>
    </w:rPr>
  </w:style>
  <w:style w:type="character" w:customStyle="1" w:styleId="57">
    <w:name w:val="BaseNTok"/>
    <w:basedOn w:val="50"/>
    <w:qFormat/>
    <w:uiPriority w:val="0"/>
    <w:rPr>
      <w:color w:val="40A070"/>
    </w:rPr>
  </w:style>
  <w:style w:type="character" w:customStyle="1" w:styleId="58">
    <w:name w:val="FloatTok"/>
    <w:basedOn w:val="50"/>
    <w:qFormat/>
    <w:uiPriority w:val="0"/>
    <w:rPr>
      <w:color w:val="40A070"/>
    </w:rPr>
  </w:style>
  <w:style w:type="character" w:customStyle="1" w:styleId="59">
    <w:name w:val="ConstantTok"/>
    <w:basedOn w:val="50"/>
    <w:qFormat/>
    <w:uiPriority w:val="0"/>
    <w:rPr>
      <w:color w:val="880000"/>
    </w:rPr>
  </w:style>
  <w:style w:type="character" w:customStyle="1" w:styleId="60">
    <w:name w:val="CharTok"/>
    <w:basedOn w:val="50"/>
    <w:qFormat/>
    <w:uiPriority w:val="0"/>
    <w:rPr>
      <w:color w:val="4070A0"/>
    </w:rPr>
  </w:style>
  <w:style w:type="character" w:customStyle="1" w:styleId="61">
    <w:name w:val="SpecialCharTok"/>
    <w:basedOn w:val="50"/>
    <w:qFormat/>
    <w:uiPriority w:val="0"/>
    <w:rPr>
      <w:color w:val="4070A0"/>
    </w:rPr>
  </w:style>
  <w:style w:type="character" w:customStyle="1" w:styleId="62">
    <w:name w:val="StringTok"/>
    <w:basedOn w:val="50"/>
    <w:qFormat/>
    <w:uiPriority w:val="0"/>
    <w:rPr>
      <w:color w:val="4070A0"/>
    </w:rPr>
  </w:style>
  <w:style w:type="character" w:customStyle="1" w:styleId="63">
    <w:name w:val="VerbatimStringTok"/>
    <w:basedOn w:val="50"/>
    <w:qFormat/>
    <w:uiPriority w:val="0"/>
    <w:rPr>
      <w:color w:val="4070A0"/>
    </w:rPr>
  </w:style>
  <w:style w:type="character" w:customStyle="1" w:styleId="64">
    <w:name w:val="SpecialStringTok"/>
    <w:basedOn w:val="50"/>
    <w:qFormat/>
    <w:uiPriority w:val="0"/>
    <w:rPr>
      <w:color w:val="BB6688"/>
    </w:rPr>
  </w:style>
  <w:style w:type="character" w:customStyle="1" w:styleId="65">
    <w:name w:val="ImportTok"/>
    <w:basedOn w:val="50"/>
    <w:qFormat/>
    <w:uiPriority w:val="0"/>
    <w:rPr>
      <w:b/>
      <w:color w:val="008000"/>
    </w:rPr>
  </w:style>
  <w:style w:type="character" w:customStyle="1" w:styleId="66">
    <w:name w:val="CommentTok"/>
    <w:basedOn w:val="50"/>
    <w:qFormat/>
    <w:uiPriority w:val="0"/>
    <w:rPr>
      <w:i/>
      <w:color w:val="60A0B0"/>
    </w:rPr>
  </w:style>
  <w:style w:type="character" w:customStyle="1" w:styleId="67">
    <w:name w:val="DocumentationTok"/>
    <w:basedOn w:val="50"/>
    <w:qFormat/>
    <w:uiPriority w:val="0"/>
    <w:rPr>
      <w:i/>
      <w:color w:val="BA2121"/>
    </w:rPr>
  </w:style>
  <w:style w:type="character" w:customStyle="1" w:styleId="68">
    <w:name w:val="AnnotationTok"/>
    <w:basedOn w:val="50"/>
    <w:qFormat/>
    <w:uiPriority w:val="0"/>
    <w:rPr>
      <w:b/>
      <w:i/>
      <w:color w:val="60A0B0"/>
    </w:rPr>
  </w:style>
  <w:style w:type="character" w:customStyle="1" w:styleId="69">
    <w:name w:val="CommentVarTok"/>
    <w:basedOn w:val="50"/>
    <w:qFormat/>
    <w:uiPriority w:val="0"/>
    <w:rPr>
      <w:b/>
      <w:i/>
      <w:color w:val="60A0B0"/>
    </w:rPr>
  </w:style>
  <w:style w:type="character" w:customStyle="1" w:styleId="70">
    <w:name w:val="OtherTok"/>
    <w:basedOn w:val="50"/>
    <w:qFormat/>
    <w:uiPriority w:val="0"/>
    <w:rPr>
      <w:color w:val="007020"/>
    </w:rPr>
  </w:style>
  <w:style w:type="character" w:customStyle="1" w:styleId="71">
    <w:name w:val="FunctionTok"/>
    <w:basedOn w:val="50"/>
    <w:qFormat/>
    <w:uiPriority w:val="0"/>
    <w:rPr>
      <w:color w:val="06287E"/>
    </w:rPr>
  </w:style>
  <w:style w:type="character" w:customStyle="1" w:styleId="72">
    <w:name w:val="VariableTok"/>
    <w:basedOn w:val="50"/>
    <w:qFormat/>
    <w:uiPriority w:val="0"/>
    <w:rPr>
      <w:color w:val="19177C"/>
    </w:rPr>
  </w:style>
  <w:style w:type="character" w:customStyle="1" w:styleId="73">
    <w:name w:val="ControlFlowTok"/>
    <w:basedOn w:val="50"/>
    <w:qFormat/>
    <w:uiPriority w:val="0"/>
    <w:rPr>
      <w:b/>
      <w:color w:val="007020"/>
    </w:rPr>
  </w:style>
  <w:style w:type="character" w:customStyle="1" w:styleId="74">
    <w:name w:val="OperatorTok"/>
    <w:basedOn w:val="50"/>
    <w:qFormat/>
    <w:uiPriority w:val="0"/>
    <w:rPr>
      <w:color w:val="666666"/>
    </w:rPr>
  </w:style>
  <w:style w:type="character" w:customStyle="1" w:styleId="75">
    <w:name w:val="BuiltInTok"/>
    <w:basedOn w:val="50"/>
    <w:qFormat/>
    <w:uiPriority w:val="0"/>
    <w:rPr>
      <w:color w:val="008000"/>
    </w:rPr>
  </w:style>
  <w:style w:type="character" w:customStyle="1" w:styleId="76">
    <w:name w:val="ExtensionTok"/>
    <w:basedOn w:val="50"/>
    <w:qFormat/>
    <w:uiPriority w:val="0"/>
  </w:style>
  <w:style w:type="character" w:customStyle="1" w:styleId="77">
    <w:name w:val="PreprocessorTok"/>
    <w:basedOn w:val="50"/>
    <w:qFormat/>
    <w:uiPriority w:val="0"/>
    <w:rPr>
      <w:color w:val="BC7A00"/>
    </w:rPr>
  </w:style>
  <w:style w:type="character" w:customStyle="1" w:styleId="78">
    <w:name w:val="AttributeTok"/>
    <w:basedOn w:val="50"/>
    <w:qFormat/>
    <w:uiPriority w:val="0"/>
    <w:rPr>
      <w:color w:val="7D9029"/>
    </w:rPr>
  </w:style>
  <w:style w:type="character" w:customStyle="1" w:styleId="79">
    <w:name w:val="RegionMarkerTok"/>
    <w:basedOn w:val="50"/>
    <w:qFormat/>
    <w:uiPriority w:val="0"/>
  </w:style>
  <w:style w:type="character" w:customStyle="1" w:styleId="80">
    <w:name w:val="InformationTok"/>
    <w:basedOn w:val="50"/>
    <w:qFormat/>
    <w:uiPriority w:val="0"/>
    <w:rPr>
      <w:b/>
      <w:i/>
      <w:color w:val="60A0B0"/>
    </w:rPr>
  </w:style>
  <w:style w:type="character" w:customStyle="1" w:styleId="81">
    <w:name w:val="WarningTok"/>
    <w:basedOn w:val="50"/>
    <w:qFormat/>
    <w:uiPriority w:val="0"/>
    <w:rPr>
      <w:b/>
      <w:i/>
      <w:color w:val="60A0B0"/>
    </w:rPr>
  </w:style>
  <w:style w:type="character" w:customStyle="1" w:styleId="82">
    <w:name w:val="AlertTok"/>
    <w:basedOn w:val="50"/>
    <w:qFormat/>
    <w:uiPriority w:val="0"/>
    <w:rPr>
      <w:b/>
      <w:color w:val="FF0000"/>
    </w:rPr>
  </w:style>
  <w:style w:type="character" w:customStyle="1" w:styleId="83">
    <w:name w:val="ErrorTok"/>
    <w:basedOn w:val="50"/>
    <w:qFormat/>
    <w:uiPriority w:val="0"/>
    <w:rPr>
      <w:b/>
      <w:color w:val="FF0000"/>
    </w:rPr>
  </w:style>
  <w:style w:type="character" w:customStyle="1" w:styleId="84">
    <w:name w:val="NormalTok"/>
    <w:basedOn w:val="5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3756</Words>
  <Characters>3794</Characters>
  <Lines>12</Lines>
  <Paragraphs>8</Paragraphs>
  <TotalTime>42</TotalTime>
  <ScaleCrop>false</ScaleCrop>
  <LinksUpToDate>false</LinksUpToDate>
  <CharactersWithSpaces>3824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2026-05-06T10:34:00Z</dcterms:created>
  <dc:creator>律师王晶</dc:creator>
  <dc:description>## 一、涉外著作权侵权认定的法律标准与保护前提 在您决定于中国启动任何维权行动之前，首要且核心的任务是确认您的作品是否于中国享有著作权保护，以及在中国法律框架下，何种行为会被认定为侵权。本章将系统阐述这两大基础问题。 ### 🔍 外国作品在中国获得著作权保护的前提 根据中国《著作权法》及相关国际条约，您的作品要在中国自动获得著作权保护，**必须满足以下至少一项连接点条件**： | 前提条件类别 | 具体适用情形 | 核心法律依据 | | :--- | :--- | :--- | | **1. 基于作者国籍或经常居住地** | 您的作者所属国或经常居住地国，与中国共同参加了国际著作权条约（如《伯尔尼公约》）或签订了双边协议。 | 《著作权法》第二条第(二)款 | | **2. 基于作品首次出版地** | a. 您的作品**首先在中国境内出版**。&lt;br&gt;b. 若您的所属国未与中国签约或共同参加条约，您的作品**首次在中国参加的国际条约的成员国出版**，或在成员国和非成员国**同时出版**（“同时出版”指境外首版后30日内在中国出版）。 | 《著作权法》第二条第(三)、(四)款；&lt;br&gt;《著作权法实施条例》第八条 | **实践中的最普遍路径**：绝大多数外国权利人的作品通过第一条路径——即**基于《伯尔尼公约》的“国民待遇”原则**——在中国获得保护。只要您所属国（如美国、欧盟成员国、日本、韩国等）与中国同为《伯尔尼公约》成员国，您的作品自创作完成之日起，即在中国自动享有著作权，无需在中国进行任何登记或履行其他手续。 **重要提示**：即便您的作品（如某些境外影视作品）未通过中国的行政审批程序，因而未获准在中国境内发行，这**并不影响**您作为作者享有的著作权。在侵权诉讼中，您仍有权主张停止传播和赔偿损失。 ### ⚖️ 涉外著作权侵权认定的法律标准体系 当您的作品满足上述保护前提后，在中国认定侵权行为需遵循一套明确的法律标准体系，该体系由法律适用规则和实体判断标准构成。 #### 1. 法律适用的基本原则：为何最终适用中国法？ 涉外著作权侵权案件首先需确定审理应适用的法律（准据法）。中国的冲突规范对此有清晰规定： * **权利归属与内容**：适用**被请求保护地法律**，即您寻求保护的国家——中国——的法律。[原文](@context-ref?id=1) * **侵权责任认定**：原则上同样适用**被请求保护地法律**（中国法）。但法律允许您在侵权行为发生后，与对方协议选择适用**法院地法律**（通常也是中国法）。[原文](@context-ref?id=2) **实践中的简化操作**：在绝大多数司法案例中，尽管案件具有涉外因素，但诉讼各方（包括原告和被告）在法庭上均援引《中华人民共和国著作权法》进行陈述和辩论。中国法院将这一行为视为各方**已默示同意选择适用中国法律**，从而直接依据中国实体法进行审理。这是当前司法实践的普遍做法。 #### 2. 实体法上的核心侵权判断标准：“接触 + 实质性相似” 在确定适用中国《著作权法》后，法院认定是否构成著作权侵权的**核心实体标准**是 **“接触”与“实质性相似”** 两项规则的结合。 * **“接触”可能性**：判断侵权方是否有机会接触到您的作品。若您的作品已公开发表，通常即推定存在接触可能。即使未发表，若双方存在业务往来、投稿等关联，或侵权表达与您的作品高度相似以至于排除独立创作巧合的，法院也可能推定存在接触。 * **“实质性相似”**：将被控侵权的作品表达与您的作品进行比对，判断两者在独创性表达层面是否构成相同或实质性相似。这是侵权认定的关键环节。 **认定逻辑**：在满足 **“接触”** （或接触可能性）且作品表达构成 **“实质性相似”** 的情况下，如果侵权方不能举证证明其作品有合法来源（如属于独立创作、来源于公有领域或构成合理使用），法院通常会认定侵权成立。 #### 3. 著作权侵权的常见行为模式 了解哪些具体行为可能被认定为侵权，有助于您初步评估风险。根据中国法律与实践，侵权主要集中在未经许可行使著作权人专有权利的行为，当前高发于**互联网与电商环境**，例如： * **复制、发行权侵权**：未经许可生产、销售含有您美术作品的产品（如服装、手机壳、家居装饰品等）。 * **信息网络传播权侵权**：未经许可在网站、电商平台商品页、微信公众号、社交媒体（如小红书）中传播您的作品。 * **软件著作权侵权**：商业性最终用户未经授权在企业经营中使用盗版软件。 * **展览权等其他权利侵权**：未经许可在线下场所公开展示您的作品复制件。 ### 📝 总结：维权的起点 在启动维权前，请您务必确认： 1. **保护资格**：您的作品是否因所属国与中国同属《伯尔尼公约》成员国等原因，而满足在中国受保护的法律前提。 2. **法律适用**：在中国进行的维权诉讼，其审理将最终适用《中华人民共和国著作权法》及配套法规。 3. **侵权判断**：中国法院将依据 **“接触+实质性相似”** 这一核心标准来判定被控行为是否构成侵权。 只有当上述基础得以确认，后续的取证、行政投诉与司法诉讼等维权步骤才具有稳固的法律基石。 ## 二、侵权行为的发现途径与初步取证 在前文明确了权利受保护、法律适用及典型侵权场景后，权利人面临的首要实操问题是如何有效发现侵权行为并固定初步证据。本节将系统梳理侵权线索的来源渠道与符合中国法律要求的初步取证方法。 ### （一）侵权行为的多元发现途径 侵权行为的发现是一个多源头、多渠道的过程，权利人应建立起系统性的监测机制，结合主动巡查与利用外部渠道。 #### 1. **主动市场与网络监测** 这是权利人自行发现侵权最主要的方式，需针对高发场景进行定向排查。 * **线上平台巡查**：定期监测主流电商平台（如淘宝、天猫、京东、拼多多、1688）、社交媒体（如微信、微博、小红书、抖音）及视频网站。重点检查商品销售页面、店铺装修、宣传文章、视频背景中是否未经许可使用了您的美术作品、摄影作品、音乐或视听作品。 * **技术手段辅助**：对于作品数量庞大的权利人，可考虑利用图像识别、文本比对等人工智能技术，对公开的图片库、出版物、域名注册信息等进行批量扫描与预警。 * **线下商业活动关注**：在参与中国境内的展会、考察合作伙伴或竞争对手时，留意其展台设计、宣传册、产品目录、实体店铺装饰、背景音乐等是否涉嫌侵权。 * **软件版权审计**：对于软件权利人，可通过市场购买、合作伙伴反馈或商业情报了解行业内企业是否在经营性使用盗版软件。 #### 2. **来自第三方与执法机构的线索** * **消费者与合作伙伴举报**：建立畅通的投诉渠道，鼓励消费者、经销商或业务伙伴举报疑似侵权行为。 * **平台通知-删除机制**：一旦在某个网络平台发现侵权，可依据中国法律向该平台发送侵权通知，要求其删除或断开链接。平台的处理过程及侵权页面本身也可成为证据来源。 * **行政执法线索移送**：中国的文化市场综合执法、市场监管等部门在查处其他案件时，若发现著作权侵权线索，可能启动调查或告知权利人。 #### 3. **国际执法协作与海关监控** * **海关知识产权保护**：权利人可向中国海关总署申请知识产权备案。海关在进出口环节查验货物时，可依职权对涉嫌侵权的货物中止放行并通知权利人，或根据权利人申请扣留嫌疑货物。这是发现大规模跨境侵权流通的重要途径。 * **国际机构协作**：例如，可通过美国国家知识产权协调中心（IPR Center）的举报系统等进行跨境线索传递。 ### （二）初步取证的具体方法与法律要求 发现侵权线索后，必须立即采用合法、有效的方式固定证据。取证的核心在于确保证据的**真实性、合法性与关联性**，以满足后续行政投诉或司法诉讼的要求。 #### 1. **常规取证方法** * **公证取证 📜**：委托中国境内的公证机构对侵权事实进行全程监督与记录，是最具证明力的取证方式。适用于： * **网页证据**：对侵权网站、电商商品页、社交媒体帖子等进行浏览和截图的全程公证。 * **购买证据**：公证员陪同购买侵权实物，完整记录下单、支付、收货、拆封过程，形成**购买公证**。 * **现场证据**：对线下侵权场所（如展会摊位、实体店）的现场状况进行拍照、录像公证。 * **自行购买与记录**：在不便立即公证的情况下，可自行购买侵权商品，并**完整保存**订单号、支付凭证（截图）、物流单号、收到商品的包装及实物。同时，对相关侵权网页进行**截图或录屏**。建议使用**可信时间戳**等电子存证工具对截图过程进行固定，以证明其产生时间及内容未被篡改。[原文](@context-ref?id=3) * **利用第三方电子存证平台**：通过符合技术规范的第三方平台，利用区块链、时间戳、哈希值校验等技术固定网络电子证据。法院一般认为，能够证明其真实性的此类电子数据应予确认。 #### 2. **针对隐蔽或复杂侵权的取证：申请证据保全** 当侵权证据（如企业内安装的盗版软件、服务器中的源代码、大批量库存）位于侵权方控制之下且难以自行取得时，应向法院申请**证据保全**。 * **适用条件**：证据可能灭失或以后难以取得。 * **申请时机**：可在起诉前（需在法院采取保全措施后30日内提起诉讼）或诉讼过程中提出。 * **法院措施**：法院可能采取现场查验计算机、复制软件信息、查封服务器或存储介质、拍照录像等措施。被申请人无正当理由拒不配合（如拒绝提供密码），法院可**推定申请人关于该证据的主张成立**。 * **担保要求**：若保全可能造成被申请人财产损失，法院可能要求申请人提供相应担保。 #### 3. **涉外取证的特殊要求** * **域外证据的公证认证**：在中华人民共和国**领域外形成**的证据（如权利人的原始权利证书、国外进行的购买凭证或公证文书），原则上需经所在国公证机关证明，并**经中国驻该国使领馆认证**，或履行两国间条约的证明手续。[原文](@context-ref?id=4) * **例外**：已为生效裁判所确认、能从官方公开渠道获得的出版物等证据，可免于公证认证。 * **外文证据的中文译本**：向中国行政机关或法院提交的外文证据，必须附上**中文译本**。译本应由专业翻译机构出具，并加盖公章。[原文](@context-ref?id=5) * **委托当地专业支持**：对于完全发生在境外的侵权行为，强烈建议**委托侵权行为地当地的律师**进行取证，以确保符合当地法律对证据形式和取证程序的要求。 **📋 初步取证核心内容清单** 无论采用何种方法，取证应尽可能覆盖以下方面： | 证据类型 | 具体内容与目的 | 注意事项 | | :--- | :--- | :--- | | **权属证据** | 证明您是著作权人：作品底稿、发表记录、著作权登记证书（如有）、认证机构证明、权利转让合同等。 | 域外形成的权属文件需注意公证认证要求。 | | **侵权证据** | 证明侵权行为存在：侵权实物、商品链接公证、购买记录、侵权现场照片/视频、软件侵权时的对比分析报告等。 | 注重证据链的完整性，从发现到固定的全过程记录。 | | **主体证据** | 确定侵权行为人：网站ICP备案信息、电商店铺的营业执照信息、侵权企业的工商登记信息等。 | 准确锁定被告是后续法律程序的前提。 | | **损害赔偿证据** | 为索赔提供依据：权利人的正版售价、侵权人的销量数据、权利人为维权支付的合理费用（公证费、律师费、调查费）票据等。 | 在初步取证阶段可有意识收集，如公证购买时记录销量。 | **总结而言，有效的维权始于系统性的监控与专业的取证。**权利人应结合自身作品特点与市场分布，建立常态化的侵权发现机制。一旦发现线索，务必在专业法律顾问的指导下，根据侵权行为的性质、地点和规模，选择最合适的取证方式，以确保证据的法庭可采性，为后续的行政或司法救济奠定坚实的证据基础。 ## 三、行政投诉与海关知识产权保护流程 基于[前序章节]已完成的侵权行为锁定、证据固定及海关备案工作，权利人可以高效启动下列非诉讼行政程序。行政途径具有**快速制止侵权、威慑效果强**的特点，是诉讼程序的重要前置或并行选择。 ### （一）著作权行政投诉流程 著作权行政投诉是针对在中国境内发生的、同时损害公共利益的著作权侵权行为，请求行政机关介入调查并作出处理的决定程序。 **1. 确定管辖机关** 权利人应当向有管辖权的**县级以上地方人民政府的著作权行政管理部门**（如省、市版权局/新闻出版局/文化和旅游厅（局）等）提交投诉。 * **地域管辖原则**：原则上由**侵权行为发生地**或**被投诉人（侵权方）住所地**的著作权行政管理部门管辖。 * **网络侵权管辖**：对于通过信息网络实施的侵权行为，可参照相关司法实践，由侵权行为实施地（如网络服务器、计算机终端设备所在地、侵权主体经营地）的部门管辖。例如，侵权网店的运营公司所在地执法部门具有管辖权。 **2. 提交投诉申请** 权利人需准备并提交完整的投诉材料。核心材料清单与要求如下： | 材料类别 | 具体文件与要求 | 与前序工作衔接 | | :--- | :--- | :--- | | **核心申请文件** | **调查申请书**：需写明投诉人与被投诉人的名称/姓名、地址、投诉日期，以及**申请调查的主要事实和理由**。 | 基于已锁定的侵权主体和场景撰写。 | | **身份与授权证明** | 1. **投诉人身份证明**（如公司营业执照复印件）。&lt;br&gt;2. **授权委托书**（如委托律师代理投诉）及代理人身份证明。 | 权利人的主体信息已在权属证据中体现。 | | **权利归属证据** | 1. 作品底稿、原件、合法出版物。&lt;br&gt;2. 著作权登记证书（如有）。&lt;br&gt;3. 显示权利归属的合同（如转让合同）。&lt;br&gt;4. 经公证或可信时间戳固定的作品首次发表网页等。 | **可直接使用** [前置取证环节] 已准备的、经“公证+认证”并附中文译本的权属证据材料。 | | **侵权证据** | 1. **侵权复制品**（如公证购买的实物）。&lt;br&gt;2. **公证书**：证明侵权行为的公证文书（如网页保全、购买过程公证）。&lt;br&gt;3. 侵权记录证据（销售账目、合同等）。&lt;br&gt;4. 现场照片、录像。 | **可直接提交** 已完成的公证购买记录、网页保全公证书、展会现场公证材料等。 | | **其他材料** | 权利人为制止侵权行为所支付的**合理费用凭证**（如公证费、律师费发票），可作为主张相关费用的依据。 | **可直接提供** 已产生的维权费用票据。 | **3. 处理流程** * **立案审查**：行政部门在收到投诉材料后进行审查，并通知投诉人是否受理。若不予受理，应告知理由。 * **调查取证**：行政部门受理后，将对涉嫌损害公共利益的侵权行为进行调查。权利人需配合提供线索与说明。 * **处理决定**：根据调查结果，行政部门可能作出的处理包括：责令停止侵权行为、予以警告、没收违法所得、没收或销毁侵权复制品及主要用于制作侵权复制品的材料、工具、设备等，并可以处以罚款。 * **后续救济**：投诉人对行政部门的处理决定不服，可以依法申请行政复议或者提起行政诉讼。 * **投诉时效**：权利人应自侵权行为发生之日起**两年内**提出。对于连续或持续的侵权行为，两年期限自侵权行为终止之日起计算。 ### （二）海关知识产权保护流程 海关保护是阻止侵权商品进出口的关键边境措施。**已在海关总署完成知识产权备案**的权利人将获得更主动、高效的保障。 **1. 海关知识产权备案（前置程序）** 备案是海关依职权主动启动保护的前提，强烈建议完成。 * **备案价值**：备案后，海关在各口岸监管中发现涉嫌侵权货物时，可**主动中止放行并通知权利人**，无需权利人逐票申请。[原文](@context-ref?id=6) * **申请方式**：通过**海关总署门户网站**（“互联网+海关”—知识产权备案模块）或直接访问**海关知识产权保护备案系统**（http://202.127.48.145:8888/）在线提交申请。 * **备案内容**：需提供有效的知识产权权利信息、权利人身份证明、知识产权产品（作品）的清晰照片或样图等，以便海关识别。可添加合法被许可人信息，确保其货物通关顺畅。 **2. 申请海关扣留侵权嫌疑货物** 当发现或获知涉嫌侵权的货物即将进出口时，权利人（无论是否备案）可向货物进出境地海关申请扣留。 * **申请材料**： 1. **权属证明**：如著作权登记证书等。 2. **侵权证据**：能够初步证明侵权存在的证据。 3. **货物详细说明**：提供涉嫌侵权货物的品名、规格、型号、外观图片、预期进出口时间、口岸等**足够详细的信息**，以便海关识别。[原文](@context-ref?id=7) 4. **担保**：海关**有权要求申请人提供相当于货物价值的保证金或担保**，以防范错误申请的风险。担保不应不合理地妨碍程序的采用。 * **海关处理**：海关受理申请并进行形式审查后，若认为符合规定，会作出中止放行（扣留）决定，并立即通知**进口人（收货人）** 和**申请人（权利人）**。[原文](@context-ref?id=8) **3. 扣留后的调查与处理程序** 海关扣留货物后，将启动调查程序，权利人必须密切关注并采取后续行动。 * **调查与确权期**：这是一个**关键法定时限**。根据国际通行规则（如TRIPS协议），海关扣留后，通常有**不超过10个工作日**（特殊情况下可再延长10个工作日）的调查期。[原文](@context-ref?id=9) * **权利人的后续行动（必须在上述期限内完成）**： 1. **确认侵权并提交证据**：权利人需及时确认扣留货物是否侵权，并向海关提交更有力的侵权鉴定或比对报告。 2. **启动司法程序**：权利人必须在海关规定的期限内（通常较短，如扣留通知后10个工作日左右），就案件实质性问题向人民法院**提起侵权诉讼**或申请诉前责令停止侵权、财产保全等临时措施。 * **海关处理结果**： * **认定侵权**：若调查后认定为侵权，海关将依法作出行政处罚决定，包括**没收侵权货物、处以罚款**，并可销毁侵权货物。涉嫌构成犯罪的，将移送公安机关。 * **放行货物**：若出现以下情形，海关将在期限届满后放行货物： a) 海关调查后无法认定侵权； b) 权利人未在规定期限内向人民法院提起诉讼或申请临时措施； c) 人民法院或知识产权行政部门认定不构成侵权。 **4. 重要注意事项** * **审慎申请义务**：权利人申请扣留应基于合理怀疑。若最终被认定为**不当申请**（如侵权不成立），权利人**可能需赔偿被扣留方因此遭受的直接损失**，如滞期费、仓储费等。 * **被申请人的权利**：进口人有权提交未侵权证据（如合法授权证明）进行申诉，要求解除扣留。 * **行民衔接**：海关程序与司法诉讼紧密衔接。海关扣留为诉讼赢得了时间和证据优势，而诉讼结果是海关最终处置货物的决定性依据。 **总结而言，行政投诉与海关保护是两条高效、直接的维权路径。** 行政投诉侧重于清除境内的公开侵权行为，而海关保护则扼守国门，阻截侵权商品的跨境流通。权利人应充分利用前置取证成果，根据侵权发生的具体场景（境内销售/生产 或 进出口环节），选择启动相应程序，或双线并行，以最大化维权效果。 ## 四、涉外著作权司法诉讼的完整流程与策略 在完成侵权行为的发现、证据固定，并可能已启动行政投诉或海关保护程序后，若需通过司法途径彻底制止侵权并获得赔偿，权利人即需在中国法院提起民事诉讼。本部分将系统阐述涉外著作权侵权诉讼的完整流程与核心策略。 ### **一、 确定管辖法院：选择最有利的“战场”** 提起诉讼的第一步是确定具有管辖权的中国法院。这需要综合考量地域管辖、级别管辖及专属管辖规则。 **1. 地域管辖：连接点的选择** * **一般原则**：涉外著作权侵权案件可由**侵权行为地**或**被告住所地**人民法院管辖。 * **侵权行为地**：包括**侵权行为实施地**（如服务器所在地、复制行为发生地）和**侵权结果发生地**。对于网络侵权行为，**被侵权人（原告）住所地**在特定情况下（如难以确定侵权行为实施地和被告住所地时）可能被视为侵权结果发生地。 * **管辖权策略**： * **选择权**：当存在多个被告或侵权行为涉及不同地点时，原告可以选择其中一个被告的侵权行为实施地法院起诉，这为原告提供了选择有利管辖法院的空间。 * **避免的管辖连接点**：**网络购物收货地**通常不能单独作为确定侵权行为地的依据。此外，若销售行为**仅因权利人的取证诱导**而发生，该销售地或销售者住所地也不能作为管辖依据。 **2. 级别管辖与专属管辖：法院层级的确定** * **基层法院**：原则上，第一审涉外著作权案件由基层人民法院管辖。 * **中级人民法院**：对以下案件具有第一审管辖权： * 诉讼标的额达到规定标准（例如，在北京、上海等地，当前标准为人民币4000万元以上）。 * 在本辖区有重大影响的案件、重大涉外案件。 * **特定类型案件**：涉及**计算机软件**的权属、侵权纠纷，原则上由**知识产权法院**或**中级人民法院**管辖。 * **知识产权法院专属管辖**：北京、上海、广州知识产权法院对所在市辖区内的专利、技术秘密、**计算机软件**等特定类型案件实行专属或跨区域集中管辖。若案件涉及计算机软件侵权，需特别注意可能由知识产权法院专属管辖。 * **确定顺序**：通常先审查是否有专属管辖（如知识产权法院管辖软件案件），再结合诉讼标的额确定级别管辖，最后根据地域管辖连接点确定具体的受诉法院。 ### **二、 制定诉讼策略：起诉前的关键决策** 在起诉前，需综合评估并制定清晰的诉讼策略。 **1. 起诉时机的选择** * **及时性**：为防止证据灭失或损害扩大，在取证完成后应及时起诉。尤其在侵权产品即将大规模上市、参展或季节性销售前夕，时间至关重要。 * **策略性**：可考虑在行政投诉程序进行中同步提起民事诉讼，利用行政调查取得的证据（如询问笔录、认定结论）强化诉讼主张。 **2. 被告主体的选择** * **锁定直接侵权人**：优先起诉侵权行为的直接实施者，如生产商、复制商、销售商或非法使用的商业最终用户。 * **追溯全链条**：为最大化维权效果，可将侵权产业链上的多个主体列为**共同被告**，例如： * 网络侵权中，将**网络服务提供者**与直接侵权用户列为共同被告（特别是在网络服务提供者明知或应知侵权而未采取措施时）。 * 出版侵权中，同时起诉**出版者**和**侵权作品作者**。 * **基于管辖与执行的考虑**：选择被告时，应同时评估其所在地法院是否便于诉讼、其财产是否便于后续判决执行。 **3. 诉讼请求的设计** * **核心请求**： * **停止侵权**：要求立即停止生产、销售、许诺销售、复制、信息网络传播等侵权行为。 * **赔偿损失**：根据法定计算方法主张经济损失（详见下文损害赔偿部分）。 * **合理开支**：明确要求被告赔偿为制止侵权行为所支付的**合理费用**，包括律师费、公证费、调查取证费、翻译费等，并附相应票据。 * **附随请求**： * **销毁侵权物品及工具**：请求法院判令销毁库存侵权复制品及用于侵权生产的专用模具、设备。 * **赔礼道歉、消除影响**：适用于侵权行为损害了权利人署名权、名誉权或造成不良商誉影响的情形。 * **临时措施**：在起诉时或起诉后，可视情况申请**行为保全（临时禁令）**、**证据保全**或**财产保全**。 ### **三、 证据的提交与质证：构建稳固的“证据链”** 诉讼的核心在于证据。权利人需将前期固定的证据，按照法律要求进行组织与提交。 **1. 举证责任分配与证明标准** * **原告的初步举证责任（“接触+实质性相似”原则）**： * **权属证据**：证明自己是作品的著作权人。对于**境外形成的权属证据**（如外国版权登记证书），原则上需办理**公证认证**手续，并附中文译本。 * **接触可能性**：证明被告有接触作品的可能（如作品已公开发表）。 * **侵权行为与相似性**：提供证据证明被告实施了侵权行为，且被诉侵权作品与权利作品构成**相同或实质性相似**。 * **被告的抗辩与举证责任**：如果被告主张**独立创作**、**合法来源**或**合理使用**，则必须对此承担举证责任。 * **举证妨碍规则**：若证明侵权获利的关键证据（如财务账册）由被告掌握，法院可责令其提供。**被告无正当理由拒不提供的，法院可以根据原告的主张和提供的证据判定赔偿数额**，这对权利人极为有利。 **2. 证据形式与认定** * **域外证据的公证认证**：在中华人民共和国领域外形成的**授权委托书**、**主体资格证明**等涉及身份关系的证据，必须经所在国公证机关证明，并经中国驻该国使领馆认证。[原文](@context-ref?id=10) * **证据效力**：经过公证的侵权行为证据（如网页保全公证）具有较高证明力。**可信时间戳**、**区块链存证**等电子证据，只要能够保证完整性、真实性，亦被法院广泛采信。 ### **四、 损害赔偿的计算：确定诉讼的经济目标** 中国法律规定了损害赔偿的计算方法及顺序，主张赔偿时应明确计算路径。 **1. 计算方法的法定顺序** 1. **权利人的实际损失**：根据因侵权导致复制品销量减少的数量乘以单位利润等方法计算。**（实践中因难以精确举证而较少直接适用）** 2. **侵权人的违法所得**：主张以侵权人因侵权所获利润进行赔偿。在被告掌握相关账簿时，可申请法院责令其提供。 3. **参照权利许可使用费**：可以参照合理的许可使用费标准主张赔偿。 4. **法定赔偿/裁量性赔偿**：当上述三项均难以确定时，由法院根据侵权行为情节，在**人民币500元以上500万元以下**酌情确定。若有证据证明损失或获利**明显超过法定赔偿上限**，法院可在上限之上**裁量确定**更高数额。 **2. 惩罚性赔偿的适用** 对于**故意**侵权且**情节严重**的，权利人可以请求在根据上述第1、2、3种方法确定的赔偿数额的**一倍以上五倍以下**适用惩罚性赔偿。**主张惩罚性赔偿需以能够确定具体赔偿计算基数为前提**。 **3. 关键策略** * **全面主张合理开支**：将所有维权产生的合理费用单独列明并提供凭证，这部分法院在判决中均会予以支持。 * **善用证据披露与举证妨碍制度**：积极申请法院责令被告提供反映其获利情况的财务资料。 ### **五、 临时禁令的运用：寻求及时的“紧急救济”** 在情况紧急时，权利人可在诉前或诉中向法院申请行为保全（临时禁令），责令被申请人立即停止涉嫌侵权的行为。 **1. 申请核心条件** 1. **权利基础稳定**：申请人是著作权人或利害关系人，权属清晰。 2. **侵权行为正在发生或即将发生**。 3. **“难以弥补的损害”**：如不立即制止，将导致申请人市场份额永久丧失、商誉受损等无法用金钱弥补的损害。 4. **情况紧急**。 **2. 申请程序与担保** * **必须提供担保**：法院会要求申请人提供相当于被申请人因执行禁令可能遭受损失的担保（现金、保函等）。担保数额是否充足是法院审查的重点之一。 * **审查与裁定**：法院会审查申请人胜诉可能性、双方损害平衡及公共利益。情况紧急的，可在48小时内作出裁定。 ### **六、 外国当事人的特殊程序合规** 作为外国权利人参与诉讼，必须严格遵守以下程序性规定： **1. 主体资格与授权委托** * **委托中国律师**：在中国法院进行诉讼，**必须委托中华人民共和国的执业律师**作为诉讼代理人。[原文](@context-ref?id=11) * **授权委托书的公证认证**：从**境外寄交的授权委托书**，必须经所在国公证机关公证，并经**中国驻该国使领馆认证**（即“双认证”）。[原文](@context-ref?id=12) * **简化程序的情形**：若授权委托书是在**中国公证员面前签署**，或是在**中国境内签署并经中国公证机构公证**，且能证明签署人身份与权限的，可免于在境外办理公证认证。[原文](@context-ref?id=13) **2. 证据与材料的翻译** 所有向法院提交的外文证据材料及书状，**均需同时提交中文翻译件**。 通过系统性地遵循上述流程与策略，外国著作权权利人能够在中国法院有效提起和推进诉讼，维护自身合法权益。诉讼不仅是获得赔偿的途径，其生效判决本身也具有强大的威慑力，并能与海关保护等行政措施形成合力，构建全方位的知识产权保护网络。 </dc:description>
  <cp:lastModifiedBy>律师王晶</cp:lastModifiedBy>
  <dcterms:modified xsi:type="dcterms:W3CDTF">2026-05-06T11:12:07Z</dcterms:modified>
  <dc:title>中国涉外著作权维权实务指南：从侵权发现到诉讼策略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scheme">
    <vt:lpwstr>light</vt:lpwstr>
  </property>
  <property fmtid="{D5CDD505-2E9C-101B-9397-08002B2CF9AE}" pid="3" name="viewport">
    <vt:lpwstr>width=device-width, initial-scale=1</vt:lpwstr>
  </property>
  <property fmtid="{D5CDD505-2E9C-101B-9397-08002B2CF9AE}" pid="4" name="AIGC">
    <vt:lpwstr>{"Label":"1","ContentProducer":"00119144030071526726XG1SBL1","ProduceID":"Cjk2OWZiMTU5MWRiZTBhOGY4YmNlZDg0NDNlMjVhZTM1NGJmOTJfdXJjdmk0XzE3NzgwNjI3Mzg0Nzk","ReservedCode1":"nuV0NToj4KDa7Z4nYhYBInigXSj2zuvgF42HRa5nYYeNKeNZRfuYL/R4OMzTFPBpU/oS7ViPX7KryGSVzrGBSho7cAGL4+7P23YwAx99UUrczUfp3ye6W9k69zc9vs20m/AFtscd5dKnHfCdQG8iJhGdQicPRKiato5/m1V9Ixg77QlOj+d3FwLYOpHsXEAoKkran7Zd6g==","ContentPropagator":"00119144030071526726XG1SBL1","PropagateID":"Cjk2OWZiMTU5MWRiZTBhOGY4YmNlZDg0NDNlMjVhZTM1NGJmOTJfdXJjdmk0XzE3NzgwNjI3Mzg0Nzk","ReservedCode2":"nuV0NToj4KDa7Z4nYhYBInigXSj2zuvgF42HRa5nYYeNKeNZRfuYL/R4OMzTFPBpU/oS7ViPX7KryGSVzrGBSho7cAGL4+7P23YwAx99UUrczUfp3ye6W9k69zc9vs20m/AFtscd5dKnHfCdQG8iJhGdQicPRKiato5/m1V9Ixg77QlOj+d3FwLYOpHsXEAoKkran7Zd6g=="}</vt:lpwstr>
  </property>
  <property fmtid="{D5CDD505-2E9C-101B-9397-08002B2CF9AE}" pid="5" name="KSOTemplateDocerSaveRecord">
    <vt:lpwstr>eyJoZGlkIjoiYjRhNDdkZWQxYmQ0ZTcyNmVhZThhZTBiNjVmMTU1NmMiLCJ1c2VySWQiOiI1NDIzNjU5MDcifQ==</vt:lpwstr>
  </property>
  <property fmtid="{D5CDD505-2E9C-101B-9397-08002B2CF9AE}" pid="6" name="KSOProductBuildVer">
    <vt:lpwstr>2052-12.1.0.25865</vt:lpwstr>
  </property>
  <property fmtid="{D5CDD505-2E9C-101B-9397-08002B2CF9AE}" pid="7" name="ICV">
    <vt:lpwstr>3760EA1BAEDD4D9BAC56361EB5C490A0_12</vt:lpwstr>
  </property>
</Properties>
</file>