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0F55CD">
      <w:pPr>
        <w:keepNext w:val="0"/>
        <w:keepLines w:val="0"/>
        <w:pageBreakBefore w:val="0"/>
        <w:kinsoku/>
        <w:wordWrap/>
        <w:overflowPunct/>
        <w:topLinePunct w:val="0"/>
        <w:autoSpaceDE/>
        <w:autoSpaceDN/>
        <w:bidi w:val="0"/>
        <w:adjustRightInd w:val="0"/>
        <w:snapToGrid w:val="0"/>
        <w:spacing w:line="360" w:lineRule="auto"/>
        <w:ind w:left="0" w:leftChars="0" w:firstLine="602" w:firstLineChars="200"/>
        <w:jc w:val="center"/>
        <w:textAlignment w:val="auto"/>
        <w:rPr>
          <w:rFonts w:hint="eastAsia" w:ascii="仿宋" w:hAnsi="仿宋" w:eastAsia="仿宋" w:cs="仿宋"/>
          <w:b/>
          <w:bCs/>
          <w:sz w:val="30"/>
          <w:szCs w:val="30"/>
          <w:vertAlign w:val="baseline"/>
          <w:lang w:val="en-US" w:eastAsia="zh-CN"/>
        </w:rPr>
      </w:pPr>
      <w:r>
        <w:rPr>
          <w:rFonts w:hint="eastAsia" w:ascii="仿宋" w:hAnsi="仿宋" w:eastAsia="仿宋" w:cs="仿宋"/>
          <w:b/>
          <w:bCs/>
          <w:sz w:val="30"/>
          <w:szCs w:val="30"/>
          <w:vertAlign w:val="baseline"/>
          <w:lang w:val="en-US" w:eastAsia="zh-CN"/>
        </w:rPr>
        <w:t>海上货物短量，保险人如何“穿透”向船东成功追偿？——从一则胜诉案例看证据链构建</w:t>
      </w:r>
    </w:p>
    <w:p w14:paraId="427E0462">
      <w:pPr>
        <w:rPr>
          <w:rFonts w:hint="eastAsia"/>
        </w:rPr>
      </w:pPr>
    </w:p>
    <w:p w14:paraId="56234EE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sz w:val="30"/>
          <w:szCs w:val="30"/>
        </w:rPr>
      </w:pPr>
      <w:r>
        <w:rPr>
          <w:rFonts w:hint="eastAsia" w:ascii="仿宋" w:hAnsi="仿宋" w:eastAsia="仿宋" w:cs="仿宋"/>
          <w:sz w:val="30"/>
          <w:szCs w:val="30"/>
        </w:rPr>
        <w:t>所在单位：浙江泽大（上海）律师事务所</w:t>
      </w:r>
    </w:p>
    <w:p w14:paraId="1BFD9351">
      <w:pPr>
        <w:keepNext w:val="0"/>
        <w:keepLines w:val="0"/>
        <w:pageBreakBefore w:val="0"/>
        <w:widowControl w:val="0"/>
        <w:kinsoku/>
        <w:wordWrap/>
        <w:overflowPunct/>
        <w:topLinePunct w:val="0"/>
        <w:autoSpaceDE/>
        <w:autoSpaceDN/>
        <w:bidi w:val="0"/>
        <w:adjustRightInd/>
        <w:snapToGrid/>
        <w:spacing w:line="440" w:lineRule="exact"/>
        <w:ind w:firstLine="3300" w:firstLineChars="1100"/>
        <w:jc w:val="both"/>
        <w:textAlignment w:val="auto"/>
        <w:rPr>
          <w:rFonts w:hint="eastAsia" w:ascii="仿宋" w:hAnsi="仿宋" w:eastAsia="仿宋" w:cs="仿宋"/>
          <w:sz w:val="30"/>
          <w:szCs w:val="30"/>
        </w:rPr>
      </w:pPr>
      <w:r>
        <w:rPr>
          <w:rFonts w:hint="eastAsia" w:ascii="仿宋" w:hAnsi="仿宋" w:eastAsia="仿宋" w:cs="仿宋"/>
          <w:sz w:val="30"/>
          <w:szCs w:val="30"/>
        </w:rPr>
        <w:t>作者：曾彩丽</w:t>
      </w:r>
    </w:p>
    <w:p w14:paraId="1F04D666">
      <w:pPr>
        <w:rPr>
          <w:rFonts w:hint="eastAsia"/>
        </w:rPr>
      </w:pPr>
    </w:p>
    <w:p w14:paraId="06A52047">
      <w:pPr>
        <w:rPr>
          <w:rFonts w:hint="eastAsia"/>
        </w:rPr>
      </w:pPr>
    </w:p>
    <w:p w14:paraId="406C316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bCs/>
          <w:sz w:val="30"/>
          <w:szCs w:val="30"/>
        </w:rPr>
      </w:pPr>
      <w:r>
        <w:rPr>
          <w:rFonts w:hint="eastAsia" w:ascii="仿宋" w:hAnsi="仿宋" w:eastAsia="仿宋" w:cs="仿宋"/>
          <w:b/>
          <w:bCs/>
          <w:sz w:val="30"/>
          <w:szCs w:val="30"/>
        </w:rPr>
        <w:t>一、案例导读</w:t>
      </w:r>
    </w:p>
    <w:p w14:paraId="6C3E704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30"/>
          <w:szCs w:val="30"/>
        </w:rPr>
      </w:pPr>
    </w:p>
    <w:p w14:paraId="78002F5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30"/>
          <w:szCs w:val="30"/>
        </w:rPr>
      </w:pPr>
      <w:r>
        <w:rPr>
          <w:rFonts w:hint="eastAsia" w:ascii="仿宋" w:hAnsi="仿宋" w:eastAsia="仿宋" w:cs="仿宋"/>
          <w:b/>
          <w:bCs/>
          <w:sz w:val="30"/>
          <w:szCs w:val="30"/>
        </w:rPr>
        <w:t>关键词：</w:t>
      </w:r>
      <w:r>
        <w:rPr>
          <w:rFonts w:hint="eastAsia" w:ascii="仿宋" w:hAnsi="仿宋" w:eastAsia="仿宋" w:cs="仿宋"/>
          <w:sz w:val="30"/>
          <w:szCs w:val="30"/>
        </w:rPr>
        <w:t>海上货物运输合同纠纷、货物短量、代位求偿权</w:t>
      </w:r>
    </w:p>
    <w:p w14:paraId="6786BC7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30"/>
          <w:szCs w:val="30"/>
        </w:rPr>
      </w:pPr>
      <w:r>
        <w:rPr>
          <w:rFonts w:hint="eastAsia" w:ascii="仿宋" w:hAnsi="仿宋" w:eastAsia="仿宋" w:cs="仿宋"/>
          <w:b/>
          <w:bCs/>
          <w:sz w:val="30"/>
          <w:szCs w:val="30"/>
        </w:rPr>
        <w:t>典型意义：</w:t>
      </w:r>
      <w:r>
        <w:rPr>
          <w:rFonts w:hint="eastAsia" w:ascii="仿宋" w:hAnsi="仿宋" w:eastAsia="仿宋" w:cs="仿宋"/>
          <w:sz w:val="30"/>
          <w:szCs w:val="30"/>
        </w:rPr>
        <w:t>本案清晰地展示了在海上货物运输中，保险人赔付了货物短量损失后，如何成功向承运人（船舶所有人）进行代位追偿的完整法律路径。法院对“承运人”身份的认定、责任期间的界定、损失金额的计算以及法律适用（特别是涉外因素的处理）等问题进行了明确裁判，为处理同类纠纷提供了具有参考价值的司法范例。</w:t>
      </w:r>
    </w:p>
    <w:p w14:paraId="0F125C4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30"/>
          <w:szCs w:val="30"/>
        </w:rPr>
      </w:pPr>
    </w:p>
    <w:p w14:paraId="54112E4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bCs/>
          <w:sz w:val="30"/>
          <w:szCs w:val="30"/>
        </w:rPr>
      </w:pPr>
      <w:r>
        <w:rPr>
          <w:rFonts w:hint="eastAsia" w:ascii="仿宋" w:hAnsi="仿宋" w:eastAsia="仿宋" w:cs="仿宋"/>
          <w:b/>
          <w:bCs/>
          <w:sz w:val="30"/>
          <w:szCs w:val="30"/>
        </w:rPr>
        <w:t>二、案情背景</w:t>
      </w:r>
    </w:p>
    <w:p w14:paraId="38114568">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2021年底至2022年初，收货人厦门</w:t>
      </w:r>
      <w:r>
        <w:rPr>
          <w:rFonts w:hint="eastAsia" w:ascii="仿宋" w:hAnsi="仿宋" w:eastAsia="仿宋" w:cs="仿宋"/>
          <w:sz w:val="30"/>
          <w:szCs w:val="30"/>
          <w:lang w:val="en-US" w:eastAsia="zh-CN"/>
        </w:rPr>
        <w:t>A</w:t>
      </w:r>
      <w:r>
        <w:rPr>
          <w:rFonts w:hint="eastAsia" w:ascii="仿宋" w:hAnsi="仿宋" w:eastAsia="仿宋" w:cs="仿宋"/>
          <w:sz w:val="30"/>
          <w:szCs w:val="30"/>
        </w:rPr>
        <w:t>物流集团有限责任公司（下称“厦门</w:t>
      </w:r>
      <w:r>
        <w:rPr>
          <w:rFonts w:hint="eastAsia" w:ascii="仿宋" w:hAnsi="仿宋" w:eastAsia="仿宋" w:cs="仿宋"/>
          <w:sz w:val="30"/>
          <w:szCs w:val="30"/>
          <w:lang w:val="en-US" w:eastAsia="zh-CN"/>
        </w:rPr>
        <w:t>A</w:t>
      </w:r>
      <w:r>
        <w:rPr>
          <w:rFonts w:hint="eastAsia" w:ascii="仿宋" w:hAnsi="仿宋" w:eastAsia="仿宋" w:cs="仿宋"/>
          <w:sz w:val="30"/>
          <w:szCs w:val="30"/>
        </w:rPr>
        <w:t>公司”）通过一系列贸易合同，购入一批由俄罗斯瓦尼诺港运至中国常州港的俄罗斯动力煤，数量为33,500公吨。该批货物由被告</w:t>
      </w:r>
      <w:r>
        <w:rPr>
          <w:rFonts w:hint="eastAsia" w:ascii="仿宋" w:hAnsi="仿宋" w:eastAsia="仿宋" w:cs="仿宋"/>
          <w:sz w:val="30"/>
          <w:szCs w:val="30"/>
          <w:lang w:val="en-US" w:eastAsia="zh-CN"/>
        </w:rPr>
        <w:t>B</w:t>
      </w:r>
      <w:r>
        <w:rPr>
          <w:rFonts w:hint="eastAsia" w:ascii="仿宋" w:hAnsi="仿宋" w:eastAsia="仿宋" w:cs="仿宋"/>
          <w:sz w:val="30"/>
          <w:szCs w:val="30"/>
        </w:rPr>
        <w:t>投资公司所有的“G”轮承运，并签发了清洁提单。货物抵达目的港后，经中国检验认证集团（CCIC）检验，实卸重量为32,556公吨，相比提单记载短少944公吨。该批货物的保险人——原告</w:t>
      </w:r>
      <w:r>
        <w:rPr>
          <w:rFonts w:hint="eastAsia" w:ascii="仿宋" w:hAnsi="仿宋" w:eastAsia="仿宋" w:cs="仿宋"/>
          <w:sz w:val="30"/>
          <w:szCs w:val="30"/>
          <w:lang w:val="en-US" w:eastAsia="zh-CN"/>
        </w:rPr>
        <w:t>C保险</w:t>
      </w:r>
      <w:r>
        <w:rPr>
          <w:rFonts w:hint="eastAsia" w:ascii="仿宋" w:hAnsi="仿宋" w:eastAsia="仿宋" w:cs="仿宋"/>
          <w:sz w:val="30"/>
          <w:szCs w:val="30"/>
        </w:rPr>
        <w:t>公司在收到索赔后，于2022年11月10日向保单权益人支付了保险赔款126,150.49美元，并依法取得了权益转让书。随后，</w:t>
      </w:r>
      <w:r>
        <w:rPr>
          <w:rFonts w:hint="eastAsia" w:ascii="仿宋" w:hAnsi="仿宋" w:eastAsia="仿宋" w:cs="仿宋"/>
          <w:sz w:val="30"/>
          <w:szCs w:val="30"/>
          <w:lang w:val="en-US" w:eastAsia="zh-CN"/>
        </w:rPr>
        <w:t>C保险</w:t>
      </w:r>
      <w:r>
        <w:rPr>
          <w:rFonts w:hint="eastAsia" w:ascii="仿宋" w:hAnsi="仿宋" w:eastAsia="仿宋" w:cs="仿宋"/>
          <w:sz w:val="30"/>
          <w:szCs w:val="30"/>
        </w:rPr>
        <w:t>公司作为代位求偿权人，将涉案船舶的所有人</w:t>
      </w:r>
      <w:r>
        <w:rPr>
          <w:rFonts w:hint="eastAsia" w:ascii="仿宋" w:hAnsi="仿宋" w:eastAsia="仿宋" w:cs="仿宋"/>
          <w:sz w:val="30"/>
          <w:szCs w:val="30"/>
          <w:lang w:val="en-US" w:eastAsia="zh-CN"/>
        </w:rPr>
        <w:t>B</w:t>
      </w:r>
      <w:r>
        <w:rPr>
          <w:rFonts w:hint="eastAsia" w:ascii="仿宋" w:hAnsi="仿宋" w:eastAsia="仿宋" w:cs="仿宋"/>
          <w:sz w:val="30"/>
          <w:szCs w:val="30"/>
        </w:rPr>
        <w:t>投资公司诉至南京海事法院，要求其赔偿货物短量损失及相应利息。被告经法院合法传唤，无正当理由未到庭应诉，法院依法进行了缺席审理。</w:t>
      </w:r>
    </w:p>
    <w:p w14:paraId="2D87C45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30"/>
          <w:szCs w:val="30"/>
        </w:rPr>
      </w:pPr>
    </w:p>
    <w:p w14:paraId="1442041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bCs/>
          <w:sz w:val="30"/>
          <w:szCs w:val="30"/>
        </w:rPr>
      </w:pPr>
      <w:r>
        <w:rPr>
          <w:rFonts w:hint="eastAsia" w:ascii="仿宋" w:hAnsi="仿宋" w:eastAsia="仿宋" w:cs="仿宋"/>
          <w:b/>
          <w:bCs/>
          <w:sz w:val="30"/>
          <w:szCs w:val="30"/>
        </w:rPr>
        <w:t>三、核心争议焦点及裁决结果</w:t>
      </w:r>
    </w:p>
    <w:p w14:paraId="424AEA10">
      <w:pPr>
        <w:keepNext w:val="0"/>
        <w:keepLines w:val="0"/>
        <w:pageBreakBefore w:val="0"/>
        <w:widowControl w:val="0"/>
        <w:kinsoku/>
        <w:wordWrap/>
        <w:overflowPunct/>
        <w:topLinePunct w:val="0"/>
        <w:autoSpaceDE/>
        <w:autoSpaceDN/>
        <w:bidi w:val="0"/>
        <w:adjustRightInd/>
        <w:snapToGrid/>
        <w:spacing w:line="440" w:lineRule="exact"/>
        <w:ind w:firstLine="301" w:firstLineChars="100"/>
        <w:textAlignment w:val="auto"/>
        <w:rPr>
          <w:rFonts w:hint="eastAsia" w:ascii="仿宋" w:hAnsi="仿宋" w:eastAsia="仿宋" w:cs="仿宋"/>
          <w:b/>
          <w:bCs/>
          <w:sz w:val="30"/>
          <w:szCs w:val="30"/>
        </w:rPr>
      </w:pPr>
      <w:r>
        <w:rPr>
          <w:rFonts w:hint="eastAsia" w:ascii="仿宋" w:hAnsi="仿宋" w:eastAsia="仿宋" w:cs="仿宋"/>
          <w:b/>
          <w:bCs/>
          <w:sz w:val="30"/>
          <w:szCs w:val="30"/>
          <w:lang w:eastAsia="zh-CN"/>
        </w:rPr>
        <w:t>（</w:t>
      </w:r>
      <w:r>
        <w:rPr>
          <w:rFonts w:hint="eastAsia" w:ascii="仿宋" w:hAnsi="仿宋" w:eastAsia="仿宋" w:cs="仿宋"/>
          <w:b/>
          <w:bCs/>
          <w:sz w:val="30"/>
          <w:szCs w:val="30"/>
          <w:lang w:val="en-US" w:eastAsia="zh-CN"/>
        </w:rPr>
        <w:t>一</w:t>
      </w:r>
      <w:r>
        <w:rPr>
          <w:rFonts w:hint="eastAsia" w:ascii="仿宋" w:hAnsi="仿宋" w:eastAsia="仿宋" w:cs="仿宋"/>
          <w:b/>
          <w:bCs/>
          <w:sz w:val="30"/>
          <w:szCs w:val="30"/>
          <w:lang w:eastAsia="zh-CN"/>
        </w:rPr>
        <w:t>）</w:t>
      </w:r>
      <w:r>
        <w:rPr>
          <w:rFonts w:hint="eastAsia" w:ascii="仿宋" w:hAnsi="仿宋" w:eastAsia="仿宋" w:cs="仿宋"/>
          <w:b/>
          <w:bCs/>
          <w:sz w:val="30"/>
          <w:szCs w:val="30"/>
          <w:lang w:val="en-US" w:eastAsia="zh-CN"/>
        </w:rPr>
        <w:t>争议焦点</w:t>
      </w:r>
      <w:r>
        <w:rPr>
          <w:rFonts w:hint="eastAsia" w:ascii="仿宋" w:hAnsi="仿宋" w:eastAsia="仿宋" w:cs="仿宋"/>
          <w:b/>
          <w:bCs/>
          <w:sz w:val="30"/>
          <w:szCs w:val="30"/>
        </w:rPr>
        <w:t>：</w:t>
      </w:r>
    </w:p>
    <w:p w14:paraId="1D4BA3F4">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1、</w:t>
      </w:r>
      <w:r>
        <w:rPr>
          <w:rFonts w:hint="eastAsia" w:ascii="仿宋" w:hAnsi="仿宋" w:eastAsia="仿宋" w:cs="仿宋"/>
          <w:sz w:val="30"/>
          <w:szCs w:val="30"/>
        </w:rPr>
        <w:t>法律适用问题：本案为涉外海上货物运输合同纠纷（被告为马绍尔群岛公司，启运港在俄罗斯）。法院认为，双方未协议选择合同适用的法律。鉴于收货人、原告均为中国公司，卸货港在中国，中华人民共和国是与合同有最密切联系的国家，故裁定本案适用中华人民共和国法律。</w:t>
      </w:r>
    </w:p>
    <w:p w14:paraId="0777CDBD">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2、</w:t>
      </w:r>
      <w:r>
        <w:rPr>
          <w:rFonts w:hint="eastAsia" w:ascii="仿宋" w:hAnsi="仿宋" w:eastAsia="仿宋" w:cs="仿宋"/>
          <w:sz w:val="30"/>
          <w:szCs w:val="30"/>
        </w:rPr>
        <w:t>承运人身份认定：涉案提单由船长代理签发。根据《海商法》第七十二条，提单由载货船舶船长签发的，视为代表承运人签发。法院结合“G”轮登记所有人为被告</w:t>
      </w:r>
      <w:r>
        <w:rPr>
          <w:rFonts w:hint="eastAsia" w:ascii="仿宋" w:hAnsi="仿宋" w:eastAsia="仿宋" w:cs="仿宋"/>
          <w:sz w:val="30"/>
          <w:szCs w:val="30"/>
          <w:lang w:val="en-US" w:eastAsia="zh-CN"/>
        </w:rPr>
        <w:t>B</w:t>
      </w:r>
      <w:r>
        <w:rPr>
          <w:rFonts w:hint="eastAsia" w:ascii="仿宋" w:hAnsi="仿宋" w:eastAsia="仿宋" w:cs="仿宋"/>
          <w:sz w:val="30"/>
          <w:szCs w:val="30"/>
        </w:rPr>
        <w:t>投资公司的事实，认定被告即为本案海上货物运输合同的承运人。</w:t>
      </w:r>
    </w:p>
    <w:p w14:paraId="43C086BD">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3、</w:t>
      </w:r>
      <w:r>
        <w:rPr>
          <w:rFonts w:hint="eastAsia" w:ascii="仿宋" w:hAnsi="仿宋" w:eastAsia="仿宋" w:cs="仿宋"/>
          <w:sz w:val="30"/>
          <w:szCs w:val="30"/>
        </w:rPr>
        <w:t>货物短量事实与责任期间：法院采信了装港SGS重量证书（33,500公吨）与卸港CCIC重量证书（32,556公吨），确认货物短少944公吨的事实成立。根据《海商法》第四十六条，承运人对非集装箱货物的责任期间为“舷到舷”（从装上船到卸下船）。该短量发生在承运人掌管货物的责任期间内。</w:t>
      </w:r>
    </w:p>
    <w:p w14:paraId="761338D9">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4、</w:t>
      </w:r>
      <w:r>
        <w:rPr>
          <w:rFonts w:hint="eastAsia" w:ascii="仿宋" w:hAnsi="仿宋" w:eastAsia="仿宋" w:cs="仿宋"/>
          <w:sz w:val="30"/>
          <w:szCs w:val="30"/>
        </w:rPr>
        <w:t>原告的代位求偿权：原告</w:t>
      </w:r>
      <w:r>
        <w:rPr>
          <w:rFonts w:hint="eastAsia" w:ascii="仿宋" w:hAnsi="仿宋" w:eastAsia="仿宋" w:cs="仿宋"/>
          <w:sz w:val="30"/>
          <w:szCs w:val="30"/>
          <w:lang w:val="en-US" w:eastAsia="zh-CN"/>
        </w:rPr>
        <w:t>C保险</w:t>
      </w:r>
      <w:r>
        <w:rPr>
          <w:rFonts w:hint="eastAsia" w:ascii="仿宋" w:hAnsi="仿宋" w:eastAsia="仿宋" w:cs="仿宋"/>
          <w:sz w:val="30"/>
          <w:szCs w:val="30"/>
        </w:rPr>
        <w:t>公司作为保险人，在向权益人（厦门</w:t>
      </w:r>
      <w:r>
        <w:rPr>
          <w:rFonts w:hint="eastAsia" w:ascii="仿宋" w:hAnsi="仿宋" w:eastAsia="仿宋" w:cs="仿宋"/>
          <w:sz w:val="30"/>
          <w:szCs w:val="30"/>
          <w:lang w:val="en-US" w:eastAsia="zh-CN"/>
        </w:rPr>
        <w:t>D</w:t>
      </w:r>
      <w:r>
        <w:rPr>
          <w:rFonts w:hint="eastAsia" w:ascii="仿宋" w:hAnsi="仿宋" w:eastAsia="仿宋" w:cs="仿宋"/>
          <w:sz w:val="30"/>
          <w:szCs w:val="30"/>
        </w:rPr>
        <w:t>公司）支付保险赔款后，取得了后者出具的《收据及权益转让书》。法院确认原告有权在赔偿金额（126,150.49美元）范围内，代位行使厦门</w:t>
      </w:r>
      <w:r>
        <w:rPr>
          <w:rFonts w:hint="eastAsia" w:ascii="仿宋" w:hAnsi="仿宋" w:eastAsia="仿宋" w:cs="仿宋"/>
          <w:sz w:val="30"/>
          <w:szCs w:val="30"/>
          <w:lang w:val="en-US" w:eastAsia="zh-CN"/>
        </w:rPr>
        <w:t>D</w:t>
      </w:r>
      <w:r>
        <w:rPr>
          <w:rFonts w:hint="eastAsia" w:ascii="仿宋" w:hAnsi="仿宋" w:eastAsia="仿宋" w:cs="仿宋"/>
          <w:sz w:val="30"/>
          <w:szCs w:val="30"/>
        </w:rPr>
        <w:t>公司对承运人（被告）的索赔权。</w:t>
      </w:r>
    </w:p>
    <w:p w14:paraId="1AD6FB08">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5、</w:t>
      </w:r>
      <w:r>
        <w:rPr>
          <w:rFonts w:hint="eastAsia" w:ascii="仿宋" w:hAnsi="仿宋" w:eastAsia="仿宋" w:cs="仿宋"/>
          <w:sz w:val="30"/>
          <w:szCs w:val="30"/>
        </w:rPr>
        <w:t>损失金额计算：原告提供了贸易合同、商业发票等证据，证明货物单价为136.69美元/公吨。原告的诉请金额以其实际支付的保险赔款126,150.49美元为限。法院对此予以支持，并按赔付日汇率折算为人民币913,607.08元，并判令被告支付自赔付之次日起的相应利息。</w:t>
      </w:r>
    </w:p>
    <w:p w14:paraId="2D215EB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30"/>
          <w:szCs w:val="30"/>
        </w:rPr>
      </w:pPr>
    </w:p>
    <w:p w14:paraId="4BCEE7A0">
      <w:pPr>
        <w:keepNext w:val="0"/>
        <w:keepLines w:val="0"/>
        <w:pageBreakBefore w:val="0"/>
        <w:widowControl w:val="0"/>
        <w:kinsoku/>
        <w:wordWrap/>
        <w:overflowPunct/>
        <w:topLinePunct w:val="0"/>
        <w:autoSpaceDE/>
        <w:autoSpaceDN/>
        <w:bidi w:val="0"/>
        <w:adjustRightInd/>
        <w:snapToGrid/>
        <w:spacing w:line="440" w:lineRule="exact"/>
        <w:ind w:firstLine="301" w:firstLineChars="100"/>
        <w:textAlignment w:val="auto"/>
        <w:rPr>
          <w:rFonts w:hint="eastAsia" w:ascii="仿宋" w:hAnsi="仿宋" w:eastAsia="仿宋" w:cs="仿宋"/>
          <w:sz w:val="30"/>
          <w:szCs w:val="30"/>
        </w:rPr>
      </w:pPr>
      <w:r>
        <w:rPr>
          <w:rFonts w:hint="eastAsia" w:ascii="仿宋" w:hAnsi="仿宋" w:eastAsia="仿宋" w:cs="仿宋"/>
          <w:b/>
          <w:bCs/>
          <w:sz w:val="30"/>
          <w:szCs w:val="30"/>
          <w:lang w:eastAsia="zh-CN"/>
        </w:rPr>
        <w:t>（</w:t>
      </w:r>
      <w:r>
        <w:rPr>
          <w:rFonts w:hint="eastAsia" w:ascii="仿宋" w:hAnsi="仿宋" w:eastAsia="仿宋" w:cs="仿宋"/>
          <w:b/>
          <w:bCs/>
          <w:sz w:val="30"/>
          <w:szCs w:val="30"/>
          <w:lang w:val="en-US" w:eastAsia="zh-CN"/>
        </w:rPr>
        <w:t>二</w:t>
      </w:r>
      <w:r>
        <w:rPr>
          <w:rFonts w:hint="eastAsia" w:ascii="仿宋" w:hAnsi="仿宋" w:eastAsia="仿宋" w:cs="仿宋"/>
          <w:b/>
          <w:bCs/>
          <w:sz w:val="30"/>
          <w:szCs w:val="30"/>
          <w:lang w:eastAsia="zh-CN"/>
        </w:rPr>
        <w:t>）</w:t>
      </w:r>
      <w:r>
        <w:rPr>
          <w:rFonts w:hint="eastAsia" w:ascii="仿宋" w:hAnsi="仿宋" w:eastAsia="仿宋" w:cs="仿宋"/>
          <w:b/>
          <w:bCs/>
          <w:sz w:val="30"/>
          <w:szCs w:val="30"/>
          <w:lang w:val="en-US" w:eastAsia="zh-CN"/>
        </w:rPr>
        <w:t>判决</w:t>
      </w:r>
      <w:r>
        <w:rPr>
          <w:rFonts w:hint="eastAsia" w:ascii="仿宋" w:hAnsi="仿宋" w:eastAsia="仿宋" w:cs="仿宋"/>
          <w:b/>
          <w:bCs/>
          <w:sz w:val="30"/>
          <w:szCs w:val="30"/>
        </w:rPr>
        <w:t>结果：</w:t>
      </w:r>
      <w:r>
        <w:rPr>
          <w:rFonts w:hint="eastAsia" w:ascii="仿宋" w:hAnsi="仿宋" w:eastAsia="仿宋" w:cs="仿宋"/>
          <w:sz w:val="30"/>
          <w:szCs w:val="30"/>
        </w:rPr>
        <w:t>法院判决被告</w:t>
      </w:r>
      <w:r>
        <w:rPr>
          <w:rFonts w:hint="eastAsia" w:ascii="仿宋" w:hAnsi="仿宋" w:eastAsia="仿宋" w:cs="仿宋"/>
          <w:sz w:val="30"/>
          <w:szCs w:val="30"/>
          <w:lang w:val="en-US" w:eastAsia="zh-CN"/>
        </w:rPr>
        <w:t>B</w:t>
      </w:r>
      <w:r>
        <w:rPr>
          <w:rFonts w:hint="eastAsia" w:ascii="仿宋" w:hAnsi="仿宋" w:eastAsia="仿宋" w:cs="仿宋"/>
          <w:sz w:val="30"/>
          <w:szCs w:val="30"/>
        </w:rPr>
        <w:t>投资公司向原告</w:t>
      </w:r>
      <w:r>
        <w:rPr>
          <w:rFonts w:hint="eastAsia" w:ascii="仿宋" w:hAnsi="仿宋" w:eastAsia="仿宋" w:cs="仿宋"/>
          <w:sz w:val="30"/>
          <w:szCs w:val="30"/>
          <w:lang w:val="en-US" w:eastAsia="zh-CN"/>
        </w:rPr>
        <w:t>C保险</w:t>
      </w:r>
      <w:r>
        <w:rPr>
          <w:rFonts w:hint="eastAsia" w:ascii="仿宋" w:hAnsi="仿宋" w:eastAsia="仿宋" w:cs="仿宋"/>
          <w:sz w:val="30"/>
          <w:szCs w:val="30"/>
        </w:rPr>
        <w:t>公司赔偿货物短量损失人民币913,607.08元及相应利息，并承担案件受理费。</w:t>
      </w:r>
    </w:p>
    <w:p w14:paraId="1A598AA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30"/>
          <w:szCs w:val="30"/>
        </w:rPr>
      </w:pPr>
    </w:p>
    <w:p w14:paraId="0A61385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30"/>
          <w:szCs w:val="30"/>
        </w:rPr>
      </w:pPr>
    </w:p>
    <w:p w14:paraId="2CBE894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bCs/>
          <w:sz w:val="30"/>
          <w:szCs w:val="30"/>
        </w:rPr>
      </w:pPr>
      <w:r>
        <w:rPr>
          <w:rFonts w:hint="eastAsia" w:ascii="仿宋" w:hAnsi="仿宋" w:eastAsia="仿宋" w:cs="仿宋"/>
          <w:b/>
          <w:bCs/>
          <w:sz w:val="30"/>
          <w:szCs w:val="30"/>
        </w:rPr>
        <w:t>四、案例评析</w:t>
      </w:r>
    </w:p>
    <w:p w14:paraId="60C54337">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本案是一起事实清晰、法律适用典型的胜诉案例。其处理过程严谨地遵循了海上货物运输合同纠纷及保险人代位求偿案件的审理逻辑。法院在被告缺席的情况下，严格依据原告提交的证据链（贸易合同、提单、装卸港重量检验报告、付款凭证、保险单、赔款证明及权益转让书等）认定事实，并准确适用《海商法》等法律规定，作出了支持原告诉请的判决。特别值得注意的是，法院在涉外法律适用环节的处理，明确了在当事人未选择法律时，应依据“最密切联系原则”确定准据法，并将卸货港、收货人所在地等作为重要连接点，最终适用中国法，保障了中国当事人的合法权益及中国司法机构的管辖权。</w:t>
      </w:r>
    </w:p>
    <w:p w14:paraId="2147F1B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30"/>
          <w:szCs w:val="30"/>
        </w:rPr>
      </w:pPr>
    </w:p>
    <w:p w14:paraId="451D02F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bCs/>
          <w:sz w:val="30"/>
          <w:szCs w:val="30"/>
        </w:rPr>
      </w:pPr>
      <w:r>
        <w:rPr>
          <w:rFonts w:hint="eastAsia" w:ascii="仿宋" w:hAnsi="仿宋" w:eastAsia="仿宋" w:cs="仿宋"/>
          <w:b/>
          <w:bCs/>
          <w:sz w:val="30"/>
          <w:szCs w:val="30"/>
        </w:rPr>
        <w:t>五、价值和示范作用（对企业的启示和风险防范建议）</w:t>
      </w:r>
    </w:p>
    <w:p w14:paraId="3B4BA3B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30"/>
          <w:szCs w:val="30"/>
        </w:rPr>
      </w:pPr>
    </w:p>
    <w:p w14:paraId="1F5B73F5">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1、</w:t>
      </w:r>
      <w:r>
        <w:rPr>
          <w:rFonts w:hint="eastAsia" w:ascii="仿宋" w:hAnsi="仿宋" w:eastAsia="仿宋" w:cs="仿宋"/>
          <w:sz w:val="30"/>
          <w:szCs w:val="30"/>
        </w:rPr>
        <w:t>对货主/收货人的启示：</w:t>
      </w:r>
    </w:p>
    <w:p w14:paraId="7619395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30"/>
          <w:szCs w:val="30"/>
        </w:rPr>
      </w:pPr>
      <w:r>
        <w:rPr>
          <w:rFonts w:hint="eastAsia" w:ascii="仿宋" w:hAnsi="仿宋" w:eastAsia="仿宋" w:cs="仿宋"/>
          <w:sz w:val="30"/>
          <w:szCs w:val="30"/>
        </w:rPr>
        <w:t xml:space="preserve">  </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1</w:t>
      </w:r>
      <w:r>
        <w:rPr>
          <w:rFonts w:hint="eastAsia" w:ascii="仿宋" w:hAnsi="仿宋" w:eastAsia="仿宋" w:cs="仿宋"/>
          <w:sz w:val="30"/>
          <w:szCs w:val="30"/>
          <w:lang w:eastAsia="zh-CN"/>
        </w:rPr>
        <w:t>）</w:t>
      </w:r>
      <w:r>
        <w:rPr>
          <w:rFonts w:hint="eastAsia" w:ascii="仿宋" w:hAnsi="仿宋" w:eastAsia="仿宋" w:cs="仿宋"/>
          <w:sz w:val="30"/>
          <w:szCs w:val="30"/>
        </w:rPr>
        <w:t>证据保全至关重要：必须委托信誉良好的独立检验机构（如本案中的SGS、CCIC）在装货港和卸货港进行重量检验，并获取权威的重量证书。这是主张货物短量最核心、最直接的证据。</w:t>
      </w:r>
    </w:p>
    <w:p w14:paraId="73A0FE8B">
      <w:pPr>
        <w:keepNext w:val="0"/>
        <w:keepLines w:val="0"/>
        <w:pageBreakBefore w:val="0"/>
        <w:widowControl w:val="0"/>
        <w:kinsoku/>
        <w:wordWrap/>
        <w:overflowPunct/>
        <w:topLinePunct w:val="0"/>
        <w:autoSpaceDE/>
        <w:autoSpaceDN/>
        <w:bidi w:val="0"/>
        <w:adjustRightInd/>
        <w:snapToGrid/>
        <w:spacing w:line="440" w:lineRule="exact"/>
        <w:ind w:firstLine="300" w:firstLineChars="100"/>
        <w:textAlignment w:val="auto"/>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2</w:t>
      </w:r>
      <w:r>
        <w:rPr>
          <w:rFonts w:hint="eastAsia" w:ascii="仿宋" w:hAnsi="仿宋" w:eastAsia="仿宋" w:cs="仿宋"/>
          <w:sz w:val="30"/>
          <w:szCs w:val="30"/>
          <w:lang w:eastAsia="zh-CN"/>
        </w:rPr>
        <w:t>）</w:t>
      </w:r>
      <w:r>
        <w:rPr>
          <w:rFonts w:hint="eastAsia" w:ascii="仿宋" w:hAnsi="仿宋" w:eastAsia="仿宋" w:cs="仿宋"/>
          <w:sz w:val="30"/>
          <w:szCs w:val="30"/>
        </w:rPr>
        <w:t>明确贸易价格依据：妥善保管销售合同、商业发票、付款凭证等文件，以清晰证明货物的实际价值，为计算损失金额奠定基础。</w:t>
      </w:r>
    </w:p>
    <w:p w14:paraId="596E5F3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30"/>
          <w:szCs w:val="30"/>
        </w:rPr>
      </w:pPr>
    </w:p>
    <w:p w14:paraId="5D9B3C65">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2、</w:t>
      </w:r>
      <w:r>
        <w:rPr>
          <w:rFonts w:hint="eastAsia" w:ascii="仿宋" w:hAnsi="仿宋" w:eastAsia="仿宋" w:cs="仿宋"/>
          <w:sz w:val="30"/>
          <w:szCs w:val="30"/>
        </w:rPr>
        <w:t>对保险公司的启示：</w:t>
      </w:r>
    </w:p>
    <w:p w14:paraId="1F5DC76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30"/>
          <w:szCs w:val="30"/>
        </w:rPr>
      </w:pPr>
      <w:r>
        <w:rPr>
          <w:rFonts w:hint="eastAsia" w:ascii="仿宋" w:hAnsi="仿宋" w:eastAsia="仿宋" w:cs="仿宋"/>
          <w:sz w:val="30"/>
          <w:szCs w:val="30"/>
        </w:rPr>
        <w:t xml:space="preserve">  </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1</w:t>
      </w:r>
      <w:r>
        <w:rPr>
          <w:rFonts w:hint="eastAsia" w:ascii="仿宋" w:hAnsi="仿宋" w:eastAsia="仿宋" w:cs="仿宋"/>
          <w:sz w:val="30"/>
          <w:szCs w:val="30"/>
          <w:lang w:eastAsia="zh-CN"/>
        </w:rPr>
        <w:t>）</w:t>
      </w:r>
      <w:r>
        <w:rPr>
          <w:rFonts w:hint="eastAsia" w:ascii="仿宋" w:hAnsi="仿宋" w:eastAsia="仿宋" w:cs="仿宋"/>
          <w:sz w:val="30"/>
          <w:szCs w:val="30"/>
        </w:rPr>
        <w:t>规范理赔与代位追偿流程：在支付保险赔款时，必须从被保险人处取得格式规范、权利转让明确的《权益转让书》及赔款收据，确保代位求偿权的完整取得。</w:t>
      </w:r>
    </w:p>
    <w:p w14:paraId="7DD7CDCD">
      <w:pPr>
        <w:keepNext w:val="0"/>
        <w:keepLines w:val="0"/>
        <w:pageBreakBefore w:val="0"/>
        <w:widowControl w:val="0"/>
        <w:kinsoku/>
        <w:wordWrap/>
        <w:overflowPunct/>
        <w:topLinePunct w:val="0"/>
        <w:autoSpaceDE/>
        <w:autoSpaceDN/>
        <w:bidi w:val="0"/>
        <w:adjustRightInd/>
        <w:snapToGrid/>
        <w:spacing w:line="440" w:lineRule="exact"/>
        <w:ind w:firstLine="300" w:firstLineChars="100"/>
        <w:textAlignment w:val="auto"/>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2</w:t>
      </w:r>
      <w:r>
        <w:rPr>
          <w:rFonts w:hint="eastAsia" w:ascii="仿宋" w:hAnsi="仿宋" w:eastAsia="仿宋" w:cs="仿宋"/>
          <w:sz w:val="30"/>
          <w:szCs w:val="30"/>
          <w:lang w:eastAsia="zh-CN"/>
        </w:rPr>
        <w:t>）</w:t>
      </w:r>
      <w:r>
        <w:rPr>
          <w:rFonts w:hint="eastAsia" w:ascii="仿宋" w:hAnsi="仿宋" w:eastAsia="仿宋" w:cs="仿宋"/>
          <w:sz w:val="30"/>
          <w:szCs w:val="30"/>
        </w:rPr>
        <w:t>准确识别追偿对象：应依据提单签发情况和船舶登记信息，准确锁定承运人或实际承运人（通常是船舶所有人或光船承租人）作为追偿对象。</w:t>
      </w:r>
    </w:p>
    <w:p w14:paraId="5ACE39A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30"/>
          <w:szCs w:val="30"/>
        </w:rPr>
      </w:pPr>
    </w:p>
    <w:p w14:paraId="009681E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30"/>
          <w:szCs w:val="30"/>
        </w:rPr>
      </w:pPr>
    </w:p>
    <w:p w14:paraId="02F932CB">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3、</w:t>
      </w:r>
      <w:r>
        <w:rPr>
          <w:rFonts w:hint="eastAsia" w:ascii="仿宋" w:hAnsi="仿宋" w:eastAsia="仿宋" w:cs="仿宋"/>
          <w:sz w:val="30"/>
          <w:szCs w:val="30"/>
        </w:rPr>
        <w:t>对出海企业的综合风险防范建议：</w:t>
      </w:r>
    </w:p>
    <w:p w14:paraId="3E9F4DF3">
      <w:pPr>
        <w:keepNext w:val="0"/>
        <w:keepLines w:val="0"/>
        <w:pageBreakBefore w:val="0"/>
        <w:widowControl w:val="0"/>
        <w:kinsoku/>
        <w:wordWrap/>
        <w:overflowPunct/>
        <w:topLinePunct w:val="0"/>
        <w:autoSpaceDE/>
        <w:autoSpaceDN/>
        <w:bidi w:val="0"/>
        <w:adjustRightInd/>
        <w:snapToGrid/>
        <w:spacing w:line="440" w:lineRule="exact"/>
        <w:ind w:firstLine="300" w:firstLineChars="100"/>
        <w:textAlignment w:val="auto"/>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1</w:t>
      </w:r>
      <w:r>
        <w:rPr>
          <w:rFonts w:hint="eastAsia" w:ascii="仿宋" w:hAnsi="仿宋" w:eastAsia="仿宋" w:cs="仿宋"/>
          <w:sz w:val="30"/>
          <w:szCs w:val="30"/>
          <w:lang w:eastAsia="zh-CN"/>
        </w:rPr>
        <w:t>）</w:t>
      </w:r>
      <w:r>
        <w:rPr>
          <w:rFonts w:hint="eastAsia" w:ascii="仿宋" w:hAnsi="仿宋" w:eastAsia="仿宋" w:cs="仿宋"/>
          <w:sz w:val="30"/>
          <w:szCs w:val="30"/>
        </w:rPr>
        <w:t>合同条款审查：在签订贸易合同和运输合同时，应关注价格条款、检验条款、争议解决和法律适用条款。</w:t>
      </w:r>
    </w:p>
    <w:p w14:paraId="139CDF8C">
      <w:pPr>
        <w:keepNext w:val="0"/>
        <w:keepLines w:val="0"/>
        <w:pageBreakBefore w:val="0"/>
        <w:widowControl w:val="0"/>
        <w:kinsoku/>
        <w:wordWrap/>
        <w:overflowPunct/>
        <w:topLinePunct w:val="0"/>
        <w:autoSpaceDE/>
        <w:autoSpaceDN/>
        <w:bidi w:val="0"/>
        <w:adjustRightInd/>
        <w:snapToGrid/>
        <w:spacing w:line="440" w:lineRule="exact"/>
        <w:ind w:firstLine="300" w:firstLineChars="100"/>
        <w:textAlignment w:val="auto"/>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2</w:t>
      </w:r>
      <w:r>
        <w:rPr>
          <w:rFonts w:hint="eastAsia" w:ascii="仿宋" w:hAnsi="仿宋" w:eastAsia="仿宋" w:cs="仿宋"/>
          <w:sz w:val="30"/>
          <w:szCs w:val="30"/>
          <w:lang w:eastAsia="zh-CN"/>
        </w:rPr>
        <w:t>）</w:t>
      </w:r>
      <w:r>
        <w:rPr>
          <w:rFonts w:hint="eastAsia" w:ascii="仿宋" w:hAnsi="仿宋" w:eastAsia="仿宋" w:cs="仿宋"/>
          <w:sz w:val="30"/>
          <w:szCs w:val="30"/>
        </w:rPr>
        <w:t>重视涉外因素：在涉及国际运输时，要有意识地通过合同约定选择对中国企业有利的准据法和管辖法院（或仲裁机构），避免在未来纠纷中陷入法律适用的被动。</w:t>
      </w:r>
    </w:p>
    <w:p w14:paraId="168784AA">
      <w:pPr>
        <w:keepNext w:val="0"/>
        <w:keepLines w:val="0"/>
        <w:pageBreakBefore w:val="0"/>
        <w:widowControl w:val="0"/>
        <w:kinsoku/>
        <w:wordWrap/>
        <w:overflowPunct/>
        <w:topLinePunct w:val="0"/>
        <w:autoSpaceDE/>
        <w:autoSpaceDN/>
        <w:bidi w:val="0"/>
        <w:adjustRightInd/>
        <w:snapToGrid/>
        <w:spacing w:line="440" w:lineRule="exact"/>
        <w:ind w:firstLine="300" w:firstLineChars="100"/>
        <w:textAlignment w:val="auto"/>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3</w:t>
      </w:r>
      <w:r>
        <w:rPr>
          <w:rFonts w:hint="eastAsia" w:ascii="仿宋" w:hAnsi="仿宋" w:eastAsia="仿宋" w:cs="仿宋"/>
          <w:sz w:val="30"/>
          <w:szCs w:val="30"/>
          <w:lang w:eastAsia="zh-CN"/>
        </w:rPr>
        <w:t>）</w:t>
      </w:r>
      <w:r>
        <w:rPr>
          <w:rFonts w:hint="eastAsia" w:ascii="仿宋" w:hAnsi="仿宋" w:eastAsia="仿宋" w:cs="仿宋"/>
          <w:sz w:val="30"/>
          <w:szCs w:val="30"/>
        </w:rPr>
        <w:t>全程留痕：建立完善的物流单证和商业单证管理体系，确保从订立合同、货物出运、检验、付款到索赔的整个链条均有文件可循，形成完整的证据闭环。</w:t>
      </w:r>
    </w:p>
    <w:p w14:paraId="75B7512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30"/>
          <w:szCs w:val="30"/>
        </w:rPr>
      </w:pPr>
    </w:p>
    <w:p w14:paraId="12F35845">
      <w:pPr>
        <w:keepNext w:val="0"/>
        <w:keepLines w:val="0"/>
        <w:pageBreakBefore w:val="0"/>
        <w:widowControl w:val="0"/>
        <w:kinsoku/>
        <w:wordWrap/>
        <w:overflowPunct/>
        <w:topLinePunct w:val="0"/>
        <w:autoSpaceDE/>
        <w:autoSpaceDN/>
        <w:bidi w:val="0"/>
        <w:adjustRightInd/>
        <w:snapToGrid/>
        <w:spacing w:line="440" w:lineRule="exact"/>
        <w:ind w:firstLine="602" w:firstLineChars="200"/>
        <w:textAlignment w:val="auto"/>
        <w:rPr>
          <w:rFonts w:hint="eastAsia" w:ascii="仿宋" w:hAnsi="仿宋" w:eastAsia="仿宋" w:cs="仿宋"/>
          <w:sz w:val="30"/>
          <w:szCs w:val="30"/>
        </w:rPr>
      </w:pPr>
      <w:r>
        <w:rPr>
          <w:rFonts w:hint="eastAsia" w:ascii="仿宋" w:hAnsi="仿宋" w:eastAsia="仿宋" w:cs="仿宋"/>
          <w:b/>
          <w:bCs/>
          <w:sz w:val="30"/>
          <w:szCs w:val="30"/>
          <w:lang w:val="en-US" w:eastAsia="zh-CN"/>
        </w:rPr>
        <w:t>结语：</w:t>
      </w:r>
      <w:r>
        <w:rPr>
          <w:rFonts w:hint="eastAsia" w:ascii="仿宋" w:hAnsi="仿宋" w:eastAsia="仿宋" w:cs="仿宋"/>
          <w:sz w:val="30"/>
          <w:szCs w:val="30"/>
        </w:rPr>
        <w:t>在单证齐全、事实清晰的情况下，即使承运人缺席，中国法院依然能够依法公正审理，维护货方及保险人的合法权益，这为从事国际贸易和海运的企业依法维权增强了信心。</w:t>
      </w:r>
    </w:p>
    <w:p w14:paraId="1AD682AE">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sz w:val="30"/>
          <w:szCs w:val="30"/>
        </w:rPr>
      </w:pPr>
    </w:p>
    <w:p w14:paraId="23DC6705">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sz w:val="30"/>
          <w:szCs w:val="30"/>
        </w:rPr>
      </w:pPr>
    </w:p>
    <w:p w14:paraId="07AFEAA2">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sz w:val="30"/>
          <w:szCs w:val="30"/>
        </w:rPr>
      </w:pPr>
    </w:p>
    <w:p w14:paraId="7BB52FB3">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sz w:val="30"/>
          <w:szCs w:val="30"/>
        </w:rPr>
      </w:pPr>
    </w:p>
    <w:p w14:paraId="7459A601">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sz w:val="30"/>
          <w:szCs w:val="30"/>
        </w:rPr>
      </w:pPr>
    </w:p>
    <w:p w14:paraId="7F021F32">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sz w:val="30"/>
          <w:szCs w:val="30"/>
        </w:rPr>
      </w:pPr>
    </w:p>
    <w:p w14:paraId="19A0ADF0">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sz w:val="30"/>
          <w:szCs w:val="30"/>
        </w:rPr>
      </w:pPr>
    </w:p>
    <w:p w14:paraId="67DFC876">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sz w:val="30"/>
          <w:szCs w:val="30"/>
        </w:rPr>
      </w:pPr>
    </w:p>
    <w:p w14:paraId="52DF45FF">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sz w:val="30"/>
          <w:szCs w:val="30"/>
        </w:rPr>
      </w:pPr>
    </w:p>
    <w:p w14:paraId="39EE31F6">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sz w:val="30"/>
          <w:szCs w:val="30"/>
        </w:rPr>
      </w:pPr>
    </w:p>
    <w:p w14:paraId="7363AE8E">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sz w:val="30"/>
          <w:szCs w:val="30"/>
        </w:rPr>
      </w:pPr>
    </w:p>
    <w:p w14:paraId="23B58849">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sz w:val="30"/>
          <w:szCs w:val="30"/>
        </w:rPr>
      </w:pPr>
    </w:p>
    <w:p w14:paraId="4AB95624">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sz w:val="30"/>
          <w:szCs w:val="30"/>
        </w:rPr>
      </w:pPr>
    </w:p>
    <w:p w14:paraId="76D03976">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sz w:val="30"/>
          <w:szCs w:val="30"/>
        </w:rPr>
      </w:pPr>
    </w:p>
    <w:p w14:paraId="5F595D41">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sz w:val="30"/>
          <w:szCs w:val="30"/>
        </w:rPr>
      </w:pPr>
    </w:p>
    <w:p w14:paraId="237F153E">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sz w:val="30"/>
          <w:szCs w:val="30"/>
        </w:rPr>
      </w:pPr>
    </w:p>
    <w:p w14:paraId="76298526">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sz w:val="30"/>
          <w:szCs w:val="30"/>
        </w:rPr>
      </w:pPr>
    </w:p>
    <w:p w14:paraId="64973EC8">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sz w:val="30"/>
          <w:szCs w:val="30"/>
        </w:rPr>
      </w:pPr>
    </w:p>
    <w:p w14:paraId="4B8547DA">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仿宋" w:hAnsi="仿宋" w:eastAsia="仿宋" w:cs="仿宋"/>
          <w:sz w:val="30"/>
          <w:szCs w:val="30"/>
        </w:rPr>
      </w:pPr>
    </w:p>
    <w:p w14:paraId="764CC4B6">
      <w:pPr>
        <w:spacing w:after="160" w:line="56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各类信息标签</w:t>
      </w:r>
    </w:p>
    <w:tbl>
      <w:tblPr>
        <w:tblStyle w:val="8"/>
        <w:tblW w:w="500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1"/>
        <w:gridCol w:w="7363"/>
      </w:tblGrid>
      <w:tr w14:paraId="26907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686" w:type="pct"/>
            <w:noWrap w:val="0"/>
            <w:vAlign w:val="center"/>
          </w:tcPr>
          <w:p w14:paraId="574EECC1">
            <w:pPr>
              <w:spacing w:line="360" w:lineRule="auto"/>
              <w:jc w:val="center"/>
              <w:rPr>
                <w:rFonts w:hint="eastAsia" w:ascii="华文仿宋" w:hAnsi="华文仿宋" w:eastAsia="华文仿宋"/>
                <w:szCs w:val="21"/>
                <w:lang w:val="en-US" w:eastAsia="zh-CN"/>
              </w:rPr>
            </w:pPr>
            <w:r>
              <w:rPr>
                <w:rFonts w:hint="eastAsia" w:ascii="华文仿宋" w:hAnsi="华文仿宋" w:eastAsia="华文仿宋"/>
                <w:szCs w:val="21"/>
                <w:lang w:val="en-US" w:eastAsia="zh-CN"/>
              </w:rPr>
              <w:t>主要服务国家或地区</w:t>
            </w:r>
          </w:p>
        </w:tc>
        <w:tc>
          <w:tcPr>
            <w:tcW w:w="4313" w:type="pct"/>
            <w:noWrap w:val="0"/>
            <w:vAlign w:val="center"/>
          </w:tcPr>
          <w:p w14:paraId="355D21F2">
            <w:pPr>
              <w:spacing w:line="360" w:lineRule="auto"/>
              <w:rPr>
                <w:rFonts w:hint="eastAsia" w:ascii="华文仿宋" w:hAnsi="华文仿宋" w:eastAsia="华文仿宋"/>
                <w:szCs w:val="21"/>
                <w:lang w:val="en-US" w:eastAsia="zh-CN"/>
              </w:rPr>
            </w:pPr>
            <w:r>
              <w:rPr>
                <w:rFonts w:hint="eastAsia" w:ascii="华文仿宋" w:hAnsi="华文仿宋" w:eastAsia="华文仿宋"/>
                <w:szCs w:val="21"/>
                <w:lang w:val="en-US" w:eastAsia="zh-CN"/>
              </w:rPr>
              <w:t>俄罗斯</w:t>
            </w:r>
            <w:bookmarkStart w:id="0" w:name="_GoBack"/>
            <w:bookmarkEnd w:id="0"/>
          </w:p>
        </w:tc>
      </w:tr>
      <w:tr w14:paraId="32FE5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686" w:type="pct"/>
            <w:noWrap w:val="0"/>
            <w:vAlign w:val="center"/>
          </w:tcPr>
          <w:p w14:paraId="35274D94">
            <w:pPr>
              <w:spacing w:before="156" w:beforeLines="50" w:after="156" w:afterLines="50" w:line="360" w:lineRule="exact"/>
              <w:jc w:val="center"/>
              <w:rPr>
                <w:rFonts w:hint="eastAsia" w:ascii="华文仿宋" w:hAnsi="华文仿宋" w:eastAsia="华文仿宋"/>
                <w:szCs w:val="21"/>
              </w:rPr>
            </w:pPr>
            <w:r>
              <w:rPr>
                <w:rFonts w:ascii="华文仿宋" w:hAnsi="华文仿宋" w:eastAsia="华文仿宋"/>
                <w:szCs w:val="21"/>
              </w:rPr>
              <w:t>产品</w:t>
            </w:r>
            <w:r>
              <w:rPr>
                <w:rFonts w:hint="eastAsia" w:ascii="华文仿宋" w:hAnsi="华文仿宋" w:eastAsia="华文仿宋"/>
                <w:szCs w:val="21"/>
                <w:lang w:val="en-US" w:eastAsia="zh-CN"/>
              </w:rPr>
              <w:t>专业</w:t>
            </w:r>
            <w:r>
              <w:rPr>
                <w:rFonts w:ascii="华文仿宋" w:hAnsi="华文仿宋" w:eastAsia="华文仿宋"/>
                <w:szCs w:val="21"/>
              </w:rPr>
              <w:t>类型</w:t>
            </w:r>
          </w:p>
        </w:tc>
        <w:tc>
          <w:tcPr>
            <w:tcW w:w="4313" w:type="pct"/>
            <w:noWrap w:val="0"/>
            <w:vAlign w:val="center"/>
          </w:tcPr>
          <w:p w14:paraId="3B80D089">
            <w:pPr>
              <w:widowControl/>
              <w:autoSpaceDE w:val="0"/>
              <w:autoSpaceDN w:val="0"/>
              <w:snapToGrid w:val="0"/>
              <w:spacing w:line="340" w:lineRule="exact"/>
              <w:rPr>
                <w:rFonts w:ascii="华文仿宋" w:hAnsi="华文仿宋" w:eastAsia="华文仿宋"/>
                <w:szCs w:val="21"/>
              </w:rPr>
            </w:pPr>
            <w:r>
              <w:rPr>
                <w:rFonts w:hint="eastAsia" w:ascii="华文仿宋" w:hAnsi="华文仿宋" w:eastAsia="华文仿宋"/>
                <w:szCs w:val="21"/>
              </w:rPr>
              <w:t>□跨境诉讼</w:t>
            </w:r>
          </w:p>
          <w:p w14:paraId="2E395308">
            <w:pPr>
              <w:widowControl/>
              <w:autoSpaceDE w:val="0"/>
              <w:autoSpaceDN w:val="0"/>
              <w:snapToGrid w:val="0"/>
              <w:spacing w:line="340" w:lineRule="exact"/>
              <w:rPr>
                <w:rFonts w:ascii="华文仿宋" w:hAnsi="华文仿宋" w:eastAsia="华文仿宋"/>
                <w:szCs w:val="21"/>
              </w:rPr>
            </w:pPr>
            <w:r>
              <w:rPr>
                <w:rFonts w:hint="eastAsia" w:ascii="华文仿宋" w:hAnsi="华文仿宋" w:eastAsia="华文仿宋"/>
                <w:szCs w:val="21"/>
              </w:rPr>
              <w:t>□国际商事调解和仲裁</w:t>
            </w:r>
          </w:p>
          <w:p w14:paraId="2061AC28">
            <w:pPr>
              <w:widowControl/>
              <w:autoSpaceDE w:val="0"/>
              <w:autoSpaceDN w:val="0"/>
              <w:snapToGrid w:val="0"/>
              <w:spacing w:line="340" w:lineRule="exact"/>
              <w:rPr>
                <w:rFonts w:ascii="华文仿宋" w:hAnsi="华文仿宋" w:eastAsia="华文仿宋"/>
                <w:szCs w:val="21"/>
              </w:rPr>
            </w:pPr>
            <w:r>
              <w:rPr>
                <w:rFonts w:hint="eastAsia" w:ascii="华文仿宋" w:hAnsi="华文仿宋" w:eastAsia="华文仿宋"/>
                <w:szCs w:val="21"/>
              </w:rPr>
              <w:t>□跨境投资并购</w:t>
            </w:r>
          </w:p>
          <w:p w14:paraId="501A74D8">
            <w:pPr>
              <w:widowControl/>
              <w:autoSpaceDE w:val="0"/>
              <w:autoSpaceDN w:val="0"/>
              <w:snapToGrid w:val="0"/>
              <w:spacing w:line="340" w:lineRule="exact"/>
              <w:rPr>
                <w:rFonts w:ascii="华文仿宋" w:hAnsi="华文仿宋" w:eastAsia="华文仿宋"/>
                <w:szCs w:val="21"/>
              </w:rPr>
            </w:pPr>
            <w:r>
              <w:rPr>
                <w:rFonts w:hint="eastAsia" w:ascii="华文仿宋" w:hAnsi="华文仿宋" w:eastAsia="华文仿宋"/>
                <w:szCs w:val="21"/>
              </w:rPr>
              <w:t>□国际证券资本市场</w:t>
            </w:r>
          </w:p>
          <w:p w14:paraId="1E8843B7">
            <w:pPr>
              <w:widowControl/>
              <w:autoSpaceDE w:val="0"/>
              <w:autoSpaceDN w:val="0"/>
              <w:snapToGrid w:val="0"/>
              <w:spacing w:line="340" w:lineRule="exact"/>
              <w:rPr>
                <w:rFonts w:ascii="华文仿宋" w:hAnsi="华文仿宋" w:eastAsia="华文仿宋"/>
                <w:szCs w:val="21"/>
              </w:rPr>
            </w:pPr>
            <w:r>
              <w:rPr>
                <w:rFonts w:hint="eastAsia" w:ascii="华文仿宋" w:hAnsi="华文仿宋" w:eastAsia="华文仿宋"/>
                <w:szCs w:val="21"/>
              </w:rPr>
              <w:t>□国际贸易及海关</w:t>
            </w:r>
          </w:p>
          <w:p w14:paraId="560F092C">
            <w:pPr>
              <w:widowControl/>
              <w:autoSpaceDE w:val="0"/>
              <w:autoSpaceDN w:val="0"/>
              <w:snapToGrid w:val="0"/>
              <w:spacing w:line="340" w:lineRule="exact"/>
              <w:rPr>
                <w:rFonts w:ascii="华文仿宋" w:hAnsi="华文仿宋" w:eastAsia="华文仿宋"/>
                <w:szCs w:val="21"/>
              </w:rPr>
            </w:pPr>
            <w:r>
              <w:rPr>
                <w:rFonts w:hint="eastAsia" w:ascii="华文仿宋" w:hAnsi="华文仿宋" w:eastAsia="华文仿宋"/>
                <w:szCs w:val="21"/>
              </w:rPr>
              <w:t>□国际税法</w:t>
            </w:r>
          </w:p>
          <w:p w14:paraId="5E9BDDD2">
            <w:pPr>
              <w:widowControl/>
              <w:autoSpaceDE w:val="0"/>
              <w:autoSpaceDN w:val="0"/>
              <w:snapToGrid w:val="0"/>
              <w:spacing w:line="340" w:lineRule="exact"/>
              <w:rPr>
                <w:rFonts w:ascii="华文仿宋" w:hAnsi="华文仿宋" w:eastAsia="华文仿宋"/>
                <w:szCs w:val="21"/>
              </w:rPr>
            </w:pPr>
            <w:r>
              <w:rPr>
                <w:rFonts w:hint="eastAsia" w:ascii="华文仿宋" w:hAnsi="华文仿宋" w:eastAsia="华文仿宋"/>
                <w:szCs w:val="21"/>
                <w:lang w:eastAsia="zh-CN"/>
              </w:rPr>
              <w:t>☑</w:t>
            </w:r>
            <w:r>
              <w:rPr>
                <w:rFonts w:hint="eastAsia" w:ascii="华文仿宋" w:hAnsi="华文仿宋" w:eastAsia="华文仿宋"/>
                <w:szCs w:val="21"/>
              </w:rPr>
              <w:t>海事海商、航运金融</w:t>
            </w:r>
          </w:p>
          <w:p w14:paraId="12330B96">
            <w:pPr>
              <w:widowControl/>
              <w:autoSpaceDE w:val="0"/>
              <w:autoSpaceDN w:val="0"/>
              <w:snapToGrid w:val="0"/>
              <w:spacing w:line="340" w:lineRule="exact"/>
              <w:rPr>
                <w:rFonts w:ascii="华文仿宋" w:hAnsi="华文仿宋" w:eastAsia="华文仿宋"/>
                <w:szCs w:val="21"/>
              </w:rPr>
            </w:pPr>
            <w:r>
              <w:rPr>
                <w:rFonts w:hint="eastAsia" w:ascii="华文仿宋" w:hAnsi="华文仿宋" w:eastAsia="华文仿宋"/>
                <w:szCs w:val="21"/>
              </w:rPr>
              <w:t>□国际工程</w:t>
            </w:r>
          </w:p>
          <w:p w14:paraId="5612F811">
            <w:pPr>
              <w:widowControl/>
              <w:autoSpaceDE w:val="0"/>
              <w:autoSpaceDN w:val="0"/>
              <w:snapToGrid w:val="0"/>
              <w:spacing w:line="340" w:lineRule="exact"/>
              <w:rPr>
                <w:rFonts w:ascii="华文仿宋" w:hAnsi="华文仿宋" w:eastAsia="华文仿宋"/>
                <w:szCs w:val="21"/>
              </w:rPr>
            </w:pPr>
            <w:r>
              <w:rPr>
                <w:rFonts w:hint="eastAsia" w:ascii="华文仿宋" w:hAnsi="华文仿宋" w:eastAsia="华文仿宋"/>
                <w:szCs w:val="21"/>
              </w:rPr>
              <w:t>□国际房地产开发</w:t>
            </w:r>
          </w:p>
          <w:p w14:paraId="25005FA1">
            <w:pPr>
              <w:widowControl/>
              <w:autoSpaceDE w:val="0"/>
              <w:autoSpaceDN w:val="0"/>
              <w:snapToGrid w:val="0"/>
              <w:spacing w:line="340" w:lineRule="exact"/>
              <w:rPr>
                <w:rFonts w:ascii="华文仿宋" w:hAnsi="华文仿宋" w:eastAsia="华文仿宋"/>
                <w:szCs w:val="21"/>
              </w:rPr>
            </w:pPr>
            <w:r>
              <w:rPr>
                <w:rFonts w:hint="eastAsia" w:ascii="华文仿宋" w:hAnsi="华文仿宋" w:eastAsia="华文仿宋"/>
                <w:szCs w:val="21"/>
              </w:rPr>
              <w:t>□国际知识产权</w:t>
            </w:r>
          </w:p>
          <w:p w14:paraId="4B215429">
            <w:pPr>
              <w:widowControl/>
              <w:autoSpaceDE w:val="0"/>
              <w:autoSpaceDN w:val="0"/>
              <w:snapToGrid w:val="0"/>
              <w:spacing w:line="340" w:lineRule="exact"/>
              <w:rPr>
                <w:rFonts w:ascii="华文仿宋" w:hAnsi="华文仿宋" w:eastAsia="华文仿宋"/>
                <w:szCs w:val="21"/>
              </w:rPr>
            </w:pPr>
            <w:r>
              <w:rPr>
                <w:rFonts w:hint="eastAsia" w:ascii="华文仿宋" w:hAnsi="华文仿宋" w:eastAsia="华文仿宋"/>
                <w:szCs w:val="21"/>
              </w:rPr>
              <w:t>□国际金融、保险业务</w:t>
            </w:r>
          </w:p>
          <w:p w14:paraId="58E6C0D8">
            <w:pPr>
              <w:widowControl/>
              <w:autoSpaceDE w:val="0"/>
              <w:autoSpaceDN w:val="0"/>
              <w:snapToGrid w:val="0"/>
              <w:spacing w:line="340" w:lineRule="exact"/>
              <w:rPr>
                <w:rFonts w:ascii="华文仿宋" w:hAnsi="华文仿宋" w:eastAsia="华文仿宋"/>
                <w:szCs w:val="21"/>
              </w:rPr>
            </w:pPr>
            <w:r>
              <w:rPr>
                <w:rFonts w:hint="eastAsia" w:ascii="华文仿宋" w:hAnsi="华文仿宋" w:eastAsia="华文仿宋"/>
                <w:szCs w:val="21"/>
              </w:rPr>
              <w:t>□跨境数据合规业务</w:t>
            </w:r>
          </w:p>
          <w:p w14:paraId="0748AE1F">
            <w:pPr>
              <w:widowControl/>
              <w:autoSpaceDE w:val="0"/>
              <w:autoSpaceDN w:val="0"/>
              <w:snapToGrid w:val="0"/>
              <w:spacing w:line="340" w:lineRule="exact"/>
              <w:rPr>
                <w:rFonts w:ascii="华文仿宋" w:hAnsi="华文仿宋" w:eastAsia="华文仿宋"/>
                <w:szCs w:val="21"/>
              </w:rPr>
            </w:pPr>
            <w:r>
              <w:rPr>
                <w:rFonts w:hint="eastAsia" w:ascii="华文仿宋" w:hAnsi="华文仿宋" w:eastAsia="华文仿宋"/>
                <w:szCs w:val="21"/>
              </w:rPr>
              <w:t>□国际矿业、能源业务</w:t>
            </w:r>
          </w:p>
          <w:p w14:paraId="2796C151">
            <w:pPr>
              <w:widowControl/>
              <w:autoSpaceDE w:val="0"/>
              <w:autoSpaceDN w:val="0"/>
              <w:snapToGrid w:val="0"/>
              <w:spacing w:line="340" w:lineRule="exact"/>
              <w:rPr>
                <w:rFonts w:ascii="华文仿宋" w:hAnsi="华文仿宋" w:eastAsia="华文仿宋"/>
                <w:szCs w:val="21"/>
              </w:rPr>
            </w:pPr>
            <w:r>
              <w:rPr>
                <w:rFonts w:hint="eastAsia" w:ascii="华文仿宋" w:hAnsi="华文仿宋" w:eastAsia="华文仿宋"/>
                <w:szCs w:val="21"/>
              </w:rPr>
              <w:t>□国际ESG法律服务</w:t>
            </w:r>
          </w:p>
          <w:p w14:paraId="75EF11D0">
            <w:pPr>
              <w:widowControl/>
              <w:autoSpaceDE w:val="0"/>
              <w:autoSpaceDN w:val="0"/>
              <w:snapToGrid w:val="0"/>
              <w:spacing w:line="340" w:lineRule="exact"/>
              <w:rPr>
                <w:rFonts w:ascii="华文仿宋" w:hAnsi="华文仿宋" w:eastAsia="华文仿宋"/>
                <w:szCs w:val="21"/>
              </w:rPr>
            </w:pPr>
            <w:r>
              <w:rPr>
                <w:rFonts w:hint="eastAsia" w:ascii="华文仿宋" w:hAnsi="华文仿宋" w:eastAsia="华文仿宋"/>
                <w:szCs w:val="21"/>
              </w:rPr>
              <w:t>□国际劳动用工</w:t>
            </w:r>
          </w:p>
          <w:p w14:paraId="1254BB0B">
            <w:pPr>
              <w:widowControl/>
              <w:autoSpaceDE w:val="0"/>
              <w:autoSpaceDN w:val="0"/>
              <w:snapToGrid w:val="0"/>
              <w:spacing w:line="340" w:lineRule="exact"/>
              <w:rPr>
                <w:rFonts w:ascii="华文仿宋" w:hAnsi="华文仿宋" w:eastAsia="华文仿宋"/>
                <w:szCs w:val="21"/>
              </w:rPr>
            </w:pPr>
            <w:r>
              <w:rPr>
                <w:rFonts w:hint="eastAsia" w:ascii="华文仿宋" w:hAnsi="华文仿宋" w:eastAsia="华文仿宋"/>
                <w:szCs w:val="21"/>
              </w:rPr>
              <w:t>□反倾销和反补贴、WTO业务</w:t>
            </w:r>
          </w:p>
          <w:p w14:paraId="35D84619">
            <w:pPr>
              <w:widowControl/>
              <w:autoSpaceDE w:val="0"/>
              <w:autoSpaceDN w:val="0"/>
              <w:snapToGrid w:val="0"/>
              <w:spacing w:line="340" w:lineRule="exact"/>
              <w:rPr>
                <w:rFonts w:ascii="华文仿宋" w:hAnsi="华文仿宋" w:eastAsia="华文仿宋"/>
                <w:szCs w:val="21"/>
              </w:rPr>
            </w:pPr>
            <w:r>
              <w:rPr>
                <w:rFonts w:hint="eastAsia" w:ascii="华文仿宋" w:hAnsi="华文仿宋" w:eastAsia="华文仿宋"/>
                <w:szCs w:val="21"/>
              </w:rPr>
              <w:t>□反垄断、反不正当竞争</w:t>
            </w:r>
          </w:p>
          <w:p w14:paraId="5CFB1CC0">
            <w:pPr>
              <w:widowControl/>
              <w:autoSpaceDE w:val="0"/>
              <w:autoSpaceDN w:val="0"/>
              <w:snapToGrid w:val="0"/>
              <w:spacing w:line="340" w:lineRule="exact"/>
              <w:rPr>
                <w:rFonts w:ascii="华文仿宋" w:hAnsi="华文仿宋" w:eastAsia="华文仿宋"/>
                <w:szCs w:val="21"/>
              </w:rPr>
            </w:pPr>
            <w:r>
              <w:rPr>
                <w:rFonts w:hint="eastAsia" w:ascii="华文仿宋" w:hAnsi="华文仿宋" w:eastAsia="华文仿宋"/>
                <w:szCs w:val="21"/>
                <w:lang w:eastAsia="zh-CN"/>
              </w:rPr>
              <w:t>□</w:t>
            </w:r>
            <w:r>
              <w:rPr>
                <w:rFonts w:hint="eastAsia" w:ascii="华文仿宋" w:hAnsi="华文仿宋" w:eastAsia="华文仿宋"/>
                <w:szCs w:val="21"/>
              </w:rPr>
              <w:t>进出口管制和经济制裁</w:t>
            </w:r>
          </w:p>
          <w:p w14:paraId="2D794185">
            <w:pPr>
              <w:widowControl/>
              <w:autoSpaceDE w:val="0"/>
              <w:autoSpaceDN w:val="0"/>
              <w:snapToGrid w:val="0"/>
              <w:spacing w:line="340" w:lineRule="exact"/>
              <w:rPr>
                <w:rFonts w:ascii="华文仿宋" w:hAnsi="华文仿宋" w:eastAsia="华文仿宋"/>
                <w:szCs w:val="21"/>
              </w:rPr>
            </w:pPr>
            <w:r>
              <w:rPr>
                <w:rFonts w:hint="eastAsia" w:ascii="华文仿宋" w:hAnsi="华文仿宋" w:eastAsia="华文仿宋"/>
                <w:szCs w:val="21"/>
              </w:rPr>
              <w:t>□国家安全审查与地缘政治风险应对</w:t>
            </w:r>
          </w:p>
          <w:p w14:paraId="33EFFF25">
            <w:pPr>
              <w:widowControl/>
              <w:autoSpaceDE w:val="0"/>
              <w:autoSpaceDN w:val="0"/>
              <w:snapToGrid w:val="0"/>
              <w:spacing w:line="340" w:lineRule="exact"/>
              <w:rPr>
                <w:rFonts w:ascii="华文仿宋" w:hAnsi="华文仿宋" w:eastAsia="华文仿宋"/>
                <w:szCs w:val="21"/>
              </w:rPr>
            </w:pPr>
            <w:r>
              <w:rPr>
                <w:rFonts w:hint="eastAsia" w:ascii="华文仿宋" w:hAnsi="华文仿宋" w:eastAsia="华文仿宋"/>
                <w:szCs w:val="21"/>
              </w:rPr>
              <w:t>□反腐败</w:t>
            </w:r>
          </w:p>
          <w:p w14:paraId="45E1BA9F">
            <w:pPr>
              <w:widowControl/>
              <w:autoSpaceDE w:val="0"/>
              <w:autoSpaceDN w:val="0"/>
              <w:snapToGrid w:val="0"/>
              <w:spacing w:line="340" w:lineRule="exact"/>
              <w:rPr>
                <w:rFonts w:ascii="华文仿宋" w:hAnsi="华文仿宋" w:eastAsia="华文仿宋"/>
                <w:szCs w:val="21"/>
              </w:rPr>
            </w:pPr>
            <w:r>
              <w:rPr>
                <w:rFonts w:hint="eastAsia" w:ascii="华文仿宋" w:hAnsi="华文仿宋" w:eastAsia="华文仿宋"/>
                <w:szCs w:val="21"/>
              </w:rPr>
              <w:t>□反洗钱、反恐怖主义融资</w:t>
            </w:r>
          </w:p>
          <w:p w14:paraId="4E7D40AD">
            <w:pPr>
              <w:widowControl/>
              <w:autoSpaceDE w:val="0"/>
              <w:autoSpaceDN w:val="0"/>
              <w:snapToGrid w:val="0"/>
              <w:spacing w:line="340" w:lineRule="exact"/>
              <w:rPr>
                <w:rFonts w:ascii="华文仿宋" w:hAnsi="华文仿宋" w:eastAsia="华文仿宋"/>
                <w:szCs w:val="21"/>
              </w:rPr>
            </w:pPr>
            <w:r>
              <w:rPr>
                <w:rFonts w:hint="eastAsia" w:ascii="华文仿宋" w:hAnsi="华文仿宋" w:eastAsia="华文仿宋"/>
                <w:szCs w:val="21"/>
              </w:rPr>
              <w:t>□跨境破产与债务重组</w:t>
            </w:r>
          </w:p>
          <w:p w14:paraId="139CE01F">
            <w:pPr>
              <w:widowControl/>
              <w:autoSpaceDE w:val="0"/>
              <w:autoSpaceDN w:val="0"/>
              <w:snapToGrid w:val="0"/>
              <w:spacing w:line="340" w:lineRule="exact"/>
              <w:rPr>
                <w:rFonts w:hint="eastAsia" w:ascii="华文仿宋" w:hAnsi="华文仿宋" w:eastAsia="华文仿宋"/>
                <w:szCs w:val="21"/>
              </w:rPr>
            </w:pPr>
            <w:r>
              <w:rPr>
                <w:rFonts w:hint="eastAsia" w:ascii="华文仿宋" w:hAnsi="华文仿宋" w:eastAsia="华文仿宋"/>
                <w:szCs w:val="21"/>
              </w:rPr>
              <w:t>□跨境家族信托与财富传承</w:t>
            </w:r>
          </w:p>
        </w:tc>
      </w:tr>
      <w:tr w14:paraId="6C3D9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686" w:type="pct"/>
            <w:noWrap w:val="0"/>
            <w:vAlign w:val="center"/>
          </w:tcPr>
          <w:p w14:paraId="6563AB22">
            <w:pPr>
              <w:spacing w:before="156" w:beforeLines="50" w:after="156" w:afterLines="50" w:line="360" w:lineRule="exact"/>
              <w:jc w:val="center"/>
              <w:rPr>
                <w:rFonts w:ascii="华文仿宋" w:hAnsi="华文仿宋" w:eastAsia="华文仿宋"/>
                <w:szCs w:val="21"/>
              </w:rPr>
            </w:pPr>
            <w:r>
              <w:rPr>
                <w:rFonts w:ascii="华文仿宋" w:hAnsi="华文仿宋" w:eastAsia="华文仿宋"/>
                <w:szCs w:val="21"/>
              </w:rPr>
              <w:t>产品</w:t>
            </w:r>
            <w:r>
              <w:rPr>
                <w:rFonts w:hint="eastAsia" w:ascii="华文仿宋" w:hAnsi="华文仿宋" w:eastAsia="华文仿宋"/>
                <w:szCs w:val="21"/>
                <w:lang w:val="en-US" w:eastAsia="zh-CN"/>
              </w:rPr>
              <w:t>对应行业</w:t>
            </w:r>
          </w:p>
        </w:tc>
        <w:tc>
          <w:tcPr>
            <w:tcW w:w="4313" w:type="pct"/>
            <w:noWrap w:val="0"/>
            <w:vAlign w:val="center"/>
          </w:tcPr>
          <w:p w14:paraId="660795D1">
            <w:pPr>
              <w:widowControl/>
              <w:autoSpaceDE w:val="0"/>
              <w:autoSpaceDN w:val="0"/>
              <w:snapToGrid w:val="0"/>
              <w:spacing w:line="340" w:lineRule="exact"/>
              <w:rPr>
                <w:rFonts w:hint="eastAsia" w:ascii="华文仿宋" w:hAnsi="华文仿宋" w:eastAsia="华文仿宋"/>
                <w:szCs w:val="21"/>
              </w:rPr>
            </w:pPr>
            <w:r>
              <w:rPr>
                <w:rFonts w:hint="eastAsia" w:ascii="华文仿宋" w:hAnsi="华文仿宋" w:eastAsia="华文仿宋"/>
                <w:szCs w:val="21"/>
                <w:lang w:eastAsia="zh-CN"/>
              </w:rPr>
              <w:t>□</w:t>
            </w:r>
            <w:r>
              <w:rPr>
                <w:rFonts w:hint="eastAsia" w:ascii="华文仿宋" w:hAnsi="华文仿宋" w:eastAsia="华文仿宋"/>
                <w:szCs w:val="21"/>
              </w:rPr>
              <w:t>农林牧渔业</w:t>
            </w:r>
          </w:p>
          <w:p w14:paraId="58E29E81">
            <w:pPr>
              <w:widowControl/>
              <w:autoSpaceDE w:val="0"/>
              <w:autoSpaceDN w:val="0"/>
              <w:snapToGrid w:val="0"/>
              <w:spacing w:line="340" w:lineRule="exact"/>
              <w:rPr>
                <w:rFonts w:hint="eastAsia" w:ascii="华文仿宋" w:hAnsi="华文仿宋" w:eastAsia="华文仿宋"/>
                <w:szCs w:val="21"/>
              </w:rPr>
            </w:pPr>
            <w:r>
              <w:rPr>
                <w:rFonts w:hint="eastAsia" w:ascii="华文仿宋" w:hAnsi="华文仿宋" w:eastAsia="华文仿宋"/>
                <w:szCs w:val="21"/>
              </w:rPr>
              <w:t>□采矿业</w:t>
            </w:r>
          </w:p>
          <w:p w14:paraId="7F39AE79">
            <w:pPr>
              <w:widowControl/>
              <w:autoSpaceDE w:val="0"/>
              <w:autoSpaceDN w:val="0"/>
              <w:snapToGrid w:val="0"/>
              <w:spacing w:line="340" w:lineRule="exact"/>
              <w:rPr>
                <w:rFonts w:hint="eastAsia" w:ascii="华文仿宋" w:hAnsi="华文仿宋" w:eastAsia="华文仿宋"/>
                <w:szCs w:val="21"/>
              </w:rPr>
            </w:pPr>
            <w:r>
              <w:rPr>
                <w:rFonts w:hint="eastAsia" w:ascii="华文仿宋" w:hAnsi="华文仿宋" w:eastAsia="华文仿宋"/>
                <w:szCs w:val="21"/>
              </w:rPr>
              <w:t>□制造业</w:t>
            </w:r>
          </w:p>
          <w:p w14:paraId="16BD7EA8">
            <w:pPr>
              <w:widowControl/>
              <w:autoSpaceDE w:val="0"/>
              <w:autoSpaceDN w:val="0"/>
              <w:snapToGrid w:val="0"/>
              <w:spacing w:line="340" w:lineRule="exact"/>
              <w:rPr>
                <w:rFonts w:hint="eastAsia" w:ascii="华文仿宋" w:hAnsi="华文仿宋" w:eastAsia="华文仿宋"/>
                <w:szCs w:val="21"/>
              </w:rPr>
            </w:pPr>
            <w:r>
              <w:rPr>
                <w:rFonts w:hint="eastAsia" w:ascii="华文仿宋" w:hAnsi="华文仿宋" w:eastAsia="华文仿宋"/>
                <w:szCs w:val="21"/>
              </w:rPr>
              <w:t>□建筑业</w:t>
            </w:r>
          </w:p>
          <w:p w14:paraId="4E68556D">
            <w:pPr>
              <w:widowControl/>
              <w:autoSpaceDE w:val="0"/>
              <w:autoSpaceDN w:val="0"/>
              <w:snapToGrid w:val="0"/>
              <w:spacing w:line="340" w:lineRule="exact"/>
              <w:rPr>
                <w:rFonts w:hint="eastAsia" w:ascii="华文仿宋" w:hAnsi="华文仿宋" w:eastAsia="华文仿宋"/>
                <w:szCs w:val="21"/>
              </w:rPr>
            </w:pPr>
            <w:r>
              <w:rPr>
                <w:rFonts w:hint="eastAsia" w:ascii="华文仿宋" w:hAnsi="华文仿宋" w:eastAsia="华文仿宋"/>
                <w:szCs w:val="21"/>
              </w:rPr>
              <w:t>□批发零售业</w:t>
            </w:r>
          </w:p>
          <w:p w14:paraId="6721A094">
            <w:pPr>
              <w:widowControl/>
              <w:autoSpaceDE w:val="0"/>
              <w:autoSpaceDN w:val="0"/>
              <w:snapToGrid w:val="0"/>
              <w:spacing w:line="340" w:lineRule="exact"/>
              <w:rPr>
                <w:rFonts w:hint="eastAsia" w:ascii="华文仿宋" w:hAnsi="华文仿宋" w:eastAsia="华文仿宋"/>
                <w:szCs w:val="21"/>
              </w:rPr>
            </w:pPr>
            <w:r>
              <w:rPr>
                <w:rFonts w:hint="eastAsia" w:ascii="华文仿宋" w:hAnsi="华文仿宋" w:eastAsia="华文仿宋"/>
                <w:szCs w:val="21"/>
                <w:lang w:eastAsia="zh-CN"/>
              </w:rPr>
              <w:t>☑</w:t>
            </w:r>
            <w:r>
              <w:rPr>
                <w:rFonts w:hint="eastAsia" w:ascii="华文仿宋" w:hAnsi="华文仿宋" w:eastAsia="华文仿宋"/>
                <w:szCs w:val="21"/>
              </w:rPr>
              <w:t>交通运输、仓储和物流服务业</w:t>
            </w:r>
          </w:p>
          <w:p w14:paraId="1130BCA0">
            <w:pPr>
              <w:widowControl/>
              <w:autoSpaceDE w:val="0"/>
              <w:autoSpaceDN w:val="0"/>
              <w:snapToGrid w:val="0"/>
              <w:spacing w:line="340" w:lineRule="exact"/>
              <w:rPr>
                <w:rFonts w:hint="eastAsia" w:ascii="华文仿宋" w:hAnsi="华文仿宋" w:eastAsia="华文仿宋"/>
                <w:szCs w:val="21"/>
              </w:rPr>
            </w:pPr>
            <w:r>
              <w:rPr>
                <w:rFonts w:hint="eastAsia" w:ascii="华文仿宋" w:hAnsi="华文仿宋" w:eastAsia="华文仿宋"/>
                <w:szCs w:val="21"/>
              </w:rPr>
              <w:t>□住宿和餐饮业</w:t>
            </w:r>
          </w:p>
          <w:p w14:paraId="1519BB8E">
            <w:pPr>
              <w:widowControl/>
              <w:autoSpaceDE w:val="0"/>
              <w:autoSpaceDN w:val="0"/>
              <w:snapToGrid w:val="0"/>
              <w:spacing w:line="340" w:lineRule="exact"/>
              <w:rPr>
                <w:rFonts w:hint="eastAsia" w:ascii="华文仿宋" w:hAnsi="华文仿宋" w:eastAsia="华文仿宋"/>
                <w:szCs w:val="21"/>
              </w:rPr>
            </w:pPr>
            <w:r>
              <w:rPr>
                <w:rFonts w:hint="eastAsia" w:ascii="华文仿宋" w:hAnsi="华文仿宋" w:eastAsia="华文仿宋"/>
                <w:szCs w:val="21"/>
              </w:rPr>
              <w:t>□信息传输、软件和信息技术服务业</w:t>
            </w:r>
          </w:p>
          <w:p w14:paraId="3278C13F">
            <w:pPr>
              <w:widowControl/>
              <w:autoSpaceDE w:val="0"/>
              <w:autoSpaceDN w:val="0"/>
              <w:snapToGrid w:val="0"/>
              <w:spacing w:line="340" w:lineRule="exact"/>
              <w:rPr>
                <w:rFonts w:hint="eastAsia" w:ascii="华文仿宋" w:hAnsi="华文仿宋" w:eastAsia="华文仿宋"/>
                <w:szCs w:val="21"/>
              </w:rPr>
            </w:pPr>
            <w:r>
              <w:rPr>
                <w:rFonts w:hint="eastAsia" w:ascii="华文仿宋" w:hAnsi="华文仿宋" w:eastAsia="华文仿宋"/>
                <w:szCs w:val="21"/>
              </w:rPr>
              <w:t>□金融业（含资本市场服务）</w:t>
            </w:r>
          </w:p>
          <w:p w14:paraId="66DC47BD">
            <w:pPr>
              <w:widowControl/>
              <w:autoSpaceDE w:val="0"/>
              <w:autoSpaceDN w:val="0"/>
              <w:snapToGrid w:val="0"/>
              <w:spacing w:line="340" w:lineRule="exact"/>
              <w:rPr>
                <w:rFonts w:hint="eastAsia" w:ascii="华文仿宋" w:hAnsi="华文仿宋" w:eastAsia="华文仿宋"/>
                <w:szCs w:val="21"/>
              </w:rPr>
            </w:pPr>
            <w:r>
              <w:rPr>
                <w:rFonts w:hint="eastAsia" w:ascii="华文仿宋" w:hAnsi="华文仿宋" w:eastAsia="华文仿宋"/>
                <w:szCs w:val="21"/>
              </w:rPr>
              <w:t>□房地产业</w:t>
            </w:r>
          </w:p>
          <w:p w14:paraId="669363CD">
            <w:pPr>
              <w:widowControl/>
              <w:autoSpaceDE w:val="0"/>
              <w:autoSpaceDN w:val="0"/>
              <w:snapToGrid w:val="0"/>
              <w:spacing w:line="340" w:lineRule="exact"/>
              <w:rPr>
                <w:rFonts w:hint="eastAsia" w:ascii="华文仿宋" w:hAnsi="华文仿宋" w:eastAsia="华文仿宋"/>
                <w:szCs w:val="21"/>
              </w:rPr>
            </w:pPr>
            <w:r>
              <w:rPr>
                <w:rFonts w:hint="eastAsia" w:ascii="华文仿宋" w:hAnsi="华文仿宋" w:eastAsia="华文仿宋"/>
                <w:szCs w:val="21"/>
              </w:rPr>
              <w:t>□租赁和商务服务业</w:t>
            </w:r>
          </w:p>
          <w:p w14:paraId="62C91A2D">
            <w:pPr>
              <w:widowControl/>
              <w:autoSpaceDE w:val="0"/>
              <w:autoSpaceDN w:val="0"/>
              <w:snapToGrid w:val="0"/>
              <w:spacing w:line="340" w:lineRule="exact"/>
              <w:rPr>
                <w:rFonts w:hint="eastAsia" w:ascii="华文仿宋" w:hAnsi="华文仿宋" w:eastAsia="华文仿宋"/>
                <w:szCs w:val="21"/>
              </w:rPr>
            </w:pPr>
            <w:r>
              <w:rPr>
                <w:rFonts w:hint="eastAsia" w:ascii="华文仿宋" w:hAnsi="华文仿宋" w:eastAsia="华文仿宋"/>
                <w:szCs w:val="21"/>
              </w:rPr>
              <w:t>□科学研究和技术服务业</w:t>
            </w:r>
          </w:p>
          <w:p w14:paraId="4AB1E3CF">
            <w:pPr>
              <w:widowControl/>
              <w:autoSpaceDE w:val="0"/>
              <w:autoSpaceDN w:val="0"/>
              <w:snapToGrid w:val="0"/>
              <w:spacing w:line="340" w:lineRule="exact"/>
              <w:rPr>
                <w:rFonts w:hint="eastAsia" w:ascii="华文仿宋" w:hAnsi="华文仿宋" w:eastAsia="华文仿宋"/>
                <w:szCs w:val="21"/>
              </w:rPr>
            </w:pPr>
            <w:r>
              <w:rPr>
                <w:rFonts w:hint="eastAsia" w:ascii="华文仿宋" w:hAnsi="华文仿宋" w:eastAsia="华文仿宋"/>
                <w:szCs w:val="21"/>
              </w:rPr>
              <w:t>□节能环保清洁产业（含清洁生产、清洁能源）</w:t>
            </w:r>
          </w:p>
          <w:p w14:paraId="71C72CE5">
            <w:pPr>
              <w:widowControl/>
              <w:autoSpaceDE w:val="0"/>
              <w:autoSpaceDN w:val="0"/>
              <w:snapToGrid w:val="0"/>
              <w:spacing w:line="340" w:lineRule="exact"/>
              <w:rPr>
                <w:rFonts w:hint="eastAsia" w:ascii="华文仿宋" w:hAnsi="华文仿宋" w:eastAsia="华文仿宋"/>
                <w:szCs w:val="21"/>
              </w:rPr>
            </w:pPr>
            <w:r>
              <w:rPr>
                <w:rFonts w:hint="eastAsia" w:ascii="华文仿宋" w:hAnsi="华文仿宋" w:eastAsia="华文仿宋"/>
                <w:szCs w:val="21"/>
              </w:rPr>
              <w:t>□医疗卫生与健康服务</w:t>
            </w:r>
          </w:p>
          <w:p w14:paraId="645704CB">
            <w:pPr>
              <w:widowControl/>
              <w:autoSpaceDE w:val="0"/>
              <w:autoSpaceDN w:val="0"/>
              <w:snapToGrid w:val="0"/>
              <w:spacing w:line="340" w:lineRule="exact"/>
              <w:rPr>
                <w:rFonts w:hint="eastAsia" w:ascii="华文仿宋" w:hAnsi="华文仿宋" w:eastAsia="华文仿宋"/>
                <w:szCs w:val="21"/>
              </w:rPr>
            </w:pPr>
            <w:r>
              <w:rPr>
                <w:rFonts w:hint="eastAsia" w:ascii="华文仿宋" w:hAnsi="华文仿宋" w:eastAsia="华文仿宋"/>
                <w:szCs w:val="21"/>
              </w:rPr>
              <w:t>□文化、体育和娱乐业</w:t>
            </w:r>
          </w:p>
          <w:p w14:paraId="0FB00E6D">
            <w:pPr>
              <w:widowControl/>
              <w:autoSpaceDE w:val="0"/>
              <w:autoSpaceDN w:val="0"/>
              <w:snapToGrid w:val="0"/>
              <w:spacing w:line="340" w:lineRule="exact"/>
              <w:rPr>
                <w:rFonts w:hint="eastAsia" w:ascii="华文仿宋" w:hAnsi="华文仿宋" w:eastAsia="华文仿宋"/>
                <w:szCs w:val="21"/>
              </w:rPr>
            </w:pPr>
            <w:r>
              <w:rPr>
                <w:rFonts w:hint="eastAsia" w:ascii="华文仿宋" w:hAnsi="华文仿宋" w:eastAsia="华文仿宋"/>
                <w:szCs w:val="21"/>
              </w:rPr>
              <w:t>□教育培训</w:t>
            </w:r>
          </w:p>
          <w:p w14:paraId="686789F7">
            <w:pPr>
              <w:widowControl/>
              <w:autoSpaceDE w:val="0"/>
              <w:autoSpaceDN w:val="0"/>
              <w:snapToGrid w:val="0"/>
              <w:spacing w:line="340" w:lineRule="exact"/>
              <w:rPr>
                <w:rFonts w:hint="eastAsia" w:ascii="华文仿宋" w:hAnsi="华文仿宋" w:eastAsia="华文仿宋"/>
                <w:szCs w:val="21"/>
              </w:rPr>
            </w:pPr>
            <w:r>
              <w:rPr>
                <w:rFonts w:hint="eastAsia" w:ascii="华文仿宋" w:hAnsi="华文仿宋" w:eastAsia="华文仿宋"/>
                <w:szCs w:val="21"/>
              </w:rPr>
              <w:t>□集成电路</w:t>
            </w:r>
          </w:p>
          <w:p w14:paraId="1A00673A">
            <w:pPr>
              <w:widowControl/>
              <w:autoSpaceDE w:val="0"/>
              <w:autoSpaceDN w:val="0"/>
              <w:snapToGrid w:val="0"/>
              <w:spacing w:line="340" w:lineRule="exact"/>
              <w:rPr>
                <w:rFonts w:hint="eastAsia" w:ascii="华文仿宋" w:hAnsi="华文仿宋" w:eastAsia="华文仿宋"/>
                <w:szCs w:val="21"/>
              </w:rPr>
            </w:pPr>
            <w:r>
              <w:rPr>
                <w:rFonts w:hint="eastAsia" w:ascii="华文仿宋" w:hAnsi="华文仿宋" w:eastAsia="华文仿宋"/>
                <w:szCs w:val="21"/>
              </w:rPr>
              <w:t>□生物医药（创新药物、高端医疗器械、生物技术服务等）</w:t>
            </w:r>
          </w:p>
          <w:p w14:paraId="1C4D339A">
            <w:pPr>
              <w:widowControl/>
              <w:autoSpaceDE w:val="0"/>
              <w:autoSpaceDN w:val="0"/>
              <w:snapToGrid w:val="0"/>
              <w:spacing w:line="340" w:lineRule="exact"/>
              <w:rPr>
                <w:rFonts w:hint="eastAsia" w:ascii="华文仿宋" w:hAnsi="华文仿宋" w:eastAsia="华文仿宋"/>
                <w:szCs w:val="21"/>
              </w:rPr>
            </w:pPr>
            <w:r>
              <w:rPr>
                <w:rFonts w:hint="eastAsia" w:ascii="华文仿宋" w:hAnsi="华文仿宋" w:eastAsia="华文仿宋"/>
                <w:szCs w:val="21"/>
              </w:rPr>
              <w:t>□人工智能（智能芯片、智能软件、自动驾驶、具身智能等）</w:t>
            </w:r>
          </w:p>
          <w:p w14:paraId="5D5797F1">
            <w:pPr>
              <w:widowControl/>
              <w:autoSpaceDE w:val="0"/>
              <w:autoSpaceDN w:val="0"/>
              <w:snapToGrid w:val="0"/>
              <w:spacing w:line="340" w:lineRule="exact"/>
              <w:rPr>
                <w:rFonts w:hint="eastAsia" w:ascii="华文仿宋" w:hAnsi="华文仿宋" w:eastAsia="华文仿宋"/>
                <w:szCs w:val="21"/>
              </w:rPr>
            </w:pPr>
            <w:r>
              <w:rPr>
                <w:rFonts w:hint="eastAsia" w:ascii="华文仿宋" w:hAnsi="华文仿宋" w:eastAsia="华文仿宋"/>
                <w:szCs w:val="21"/>
              </w:rPr>
              <w:t>□</w:t>
            </w:r>
            <w:r>
              <w:rPr>
                <w:rFonts w:hint="eastAsia" w:ascii="华文仿宋" w:hAnsi="华文仿宋" w:eastAsia="华文仿宋"/>
                <w:szCs w:val="21"/>
                <w:lang w:val="en-US" w:eastAsia="zh-CN"/>
              </w:rPr>
              <w:t>电子信息</w:t>
            </w:r>
          </w:p>
          <w:p w14:paraId="4F827741">
            <w:pPr>
              <w:widowControl/>
              <w:autoSpaceDE w:val="0"/>
              <w:autoSpaceDN w:val="0"/>
              <w:snapToGrid w:val="0"/>
              <w:spacing w:line="340" w:lineRule="exact"/>
              <w:rPr>
                <w:rFonts w:hint="eastAsia" w:ascii="华文仿宋" w:hAnsi="华文仿宋" w:eastAsia="华文仿宋"/>
                <w:szCs w:val="21"/>
              </w:rPr>
            </w:pPr>
            <w:r>
              <w:rPr>
                <w:rFonts w:hint="eastAsia" w:ascii="华文仿宋" w:hAnsi="华文仿宋" w:eastAsia="华文仿宋"/>
                <w:szCs w:val="21"/>
              </w:rPr>
              <w:t>□</w:t>
            </w:r>
            <w:r>
              <w:rPr>
                <w:rFonts w:hint="eastAsia" w:ascii="华文仿宋" w:hAnsi="华文仿宋" w:eastAsia="华文仿宋"/>
                <w:szCs w:val="21"/>
                <w:lang w:val="en-US" w:eastAsia="zh-CN"/>
              </w:rPr>
              <w:t>生命健康</w:t>
            </w:r>
          </w:p>
          <w:p w14:paraId="610E66C1">
            <w:pPr>
              <w:widowControl/>
              <w:autoSpaceDE w:val="0"/>
              <w:autoSpaceDN w:val="0"/>
              <w:snapToGrid w:val="0"/>
              <w:spacing w:line="340" w:lineRule="exact"/>
              <w:rPr>
                <w:rFonts w:hint="eastAsia" w:ascii="华文仿宋" w:hAnsi="华文仿宋" w:eastAsia="华文仿宋"/>
                <w:szCs w:val="21"/>
              </w:rPr>
            </w:pPr>
            <w:r>
              <w:rPr>
                <w:rFonts w:hint="eastAsia" w:ascii="华文仿宋" w:hAnsi="华文仿宋" w:eastAsia="华文仿宋"/>
                <w:szCs w:val="21"/>
              </w:rPr>
              <w:t>□</w:t>
            </w:r>
            <w:r>
              <w:rPr>
                <w:rFonts w:hint="eastAsia" w:ascii="华文仿宋" w:hAnsi="华文仿宋" w:eastAsia="华文仿宋"/>
                <w:szCs w:val="21"/>
                <w:lang w:val="en-US" w:eastAsia="zh-CN"/>
              </w:rPr>
              <w:t>汽车</w:t>
            </w:r>
          </w:p>
          <w:p w14:paraId="44CBE36A">
            <w:pPr>
              <w:widowControl/>
              <w:autoSpaceDE w:val="0"/>
              <w:autoSpaceDN w:val="0"/>
              <w:snapToGrid w:val="0"/>
              <w:spacing w:line="340" w:lineRule="exact"/>
              <w:rPr>
                <w:rFonts w:hint="eastAsia" w:ascii="华文仿宋" w:hAnsi="华文仿宋" w:eastAsia="华文仿宋"/>
                <w:szCs w:val="21"/>
              </w:rPr>
            </w:pPr>
            <w:r>
              <w:rPr>
                <w:rFonts w:hint="eastAsia" w:ascii="华文仿宋" w:hAnsi="华文仿宋" w:eastAsia="华文仿宋"/>
                <w:szCs w:val="21"/>
              </w:rPr>
              <w:t>□</w:t>
            </w:r>
            <w:r>
              <w:rPr>
                <w:rFonts w:hint="eastAsia" w:ascii="华文仿宋" w:hAnsi="华文仿宋" w:eastAsia="华文仿宋"/>
                <w:szCs w:val="21"/>
                <w:lang w:val="en-US" w:eastAsia="zh-CN"/>
              </w:rPr>
              <w:t>高端装备</w:t>
            </w:r>
          </w:p>
          <w:p w14:paraId="0F651B84">
            <w:pPr>
              <w:widowControl/>
              <w:autoSpaceDE w:val="0"/>
              <w:autoSpaceDN w:val="0"/>
              <w:snapToGrid w:val="0"/>
              <w:spacing w:line="340" w:lineRule="exact"/>
              <w:rPr>
                <w:rFonts w:hint="eastAsia" w:ascii="华文仿宋" w:hAnsi="华文仿宋" w:eastAsia="华文仿宋"/>
                <w:szCs w:val="21"/>
              </w:rPr>
            </w:pPr>
            <w:r>
              <w:rPr>
                <w:rFonts w:hint="eastAsia" w:ascii="华文仿宋" w:hAnsi="华文仿宋" w:eastAsia="华文仿宋"/>
                <w:szCs w:val="21"/>
              </w:rPr>
              <w:t>□</w:t>
            </w:r>
            <w:r>
              <w:rPr>
                <w:rFonts w:hint="eastAsia" w:ascii="华文仿宋" w:hAnsi="华文仿宋" w:eastAsia="华文仿宋"/>
                <w:szCs w:val="21"/>
                <w:lang w:val="en-US" w:eastAsia="zh-CN"/>
              </w:rPr>
              <w:t>先进材料</w:t>
            </w:r>
          </w:p>
          <w:p w14:paraId="58F0D100">
            <w:pPr>
              <w:widowControl/>
              <w:autoSpaceDE w:val="0"/>
              <w:autoSpaceDN w:val="0"/>
              <w:snapToGrid w:val="0"/>
              <w:spacing w:line="340" w:lineRule="exact"/>
              <w:rPr>
                <w:rFonts w:hint="eastAsia" w:ascii="华文仿宋" w:hAnsi="华文仿宋" w:eastAsia="华文仿宋"/>
                <w:szCs w:val="21"/>
              </w:rPr>
            </w:pPr>
            <w:r>
              <w:rPr>
                <w:rFonts w:hint="eastAsia" w:ascii="华文仿宋" w:hAnsi="华文仿宋" w:eastAsia="华文仿宋"/>
                <w:szCs w:val="21"/>
              </w:rPr>
              <w:t>□时尚消费品</w:t>
            </w:r>
          </w:p>
          <w:p w14:paraId="47A3EE8A">
            <w:pPr>
              <w:widowControl/>
              <w:autoSpaceDE w:val="0"/>
              <w:autoSpaceDN w:val="0"/>
              <w:snapToGrid w:val="0"/>
              <w:spacing w:line="340" w:lineRule="exact"/>
              <w:rPr>
                <w:rFonts w:hint="eastAsia" w:ascii="华文仿宋" w:hAnsi="华文仿宋" w:eastAsia="华文仿宋"/>
                <w:szCs w:val="21"/>
              </w:rPr>
            </w:pPr>
            <w:r>
              <w:rPr>
                <w:rFonts w:hint="eastAsia" w:ascii="华文仿宋" w:hAnsi="华文仿宋" w:eastAsia="华文仿宋"/>
                <w:szCs w:val="21"/>
              </w:rPr>
              <w:t>□低空经济</w:t>
            </w:r>
          </w:p>
          <w:p w14:paraId="23B0EAEA">
            <w:pPr>
              <w:widowControl/>
              <w:autoSpaceDE w:val="0"/>
              <w:autoSpaceDN w:val="0"/>
              <w:snapToGrid w:val="0"/>
              <w:spacing w:line="340" w:lineRule="exact"/>
              <w:rPr>
                <w:rFonts w:hint="eastAsia" w:ascii="华文仿宋" w:hAnsi="华文仿宋" w:eastAsia="华文仿宋"/>
                <w:szCs w:val="21"/>
              </w:rPr>
            </w:pPr>
            <w:r>
              <w:rPr>
                <w:rFonts w:hint="eastAsia" w:ascii="华文仿宋" w:hAnsi="华文仿宋" w:eastAsia="华文仿宋"/>
                <w:szCs w:val="21"/>
              </w:rPr>
              <w:t>□未来产业（光子芯片与器件、基因与细胞技术、类脑智能、新型海洋经济、氢能与储能等）</w:t>
            </w:r>
          </w:p>
          <w:p w14:paraId="70FDF7F5">
            <w:pPr>
              <w:widowControl/>
              <w:autoSpaceDE w:val="0"/>
              <w:autoSpaceDN w:val="0"/>
              <w:snapToGrid w:val="0"/>
              <w:spacing w:line="340" w:lineRule="exact"/>
              <w:rPr>
                <w:rFonts w:hint="eastAsia" w:ascii="华文仿宋" w:hAnsi="华文仿宋" w:eastAsia="华文仿宋"/>
                <w:szCs w:val="21"/>
              </w:rPr>
            </w:pPr>
            <w:r>
              <w:rPr>
                <w:rFonts w:hint="eastAsia" w:ascii="华文仿宋" w:hAnsi="华文仿宋" w:eastAsia="华文仿宋"/>
                <w:szCs w:val="21"/>
              </w:rPr>
              <w:t>□游戏和电竞</w:t>
            </w:r>
          </w:p>
        </w:tc>
      </w:tr>
    </w:tbl>
    <w:p w14:paraId="34AB304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30"/>
          <w:szCs w:val="30"/>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6A69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DDBC05">
                          <w:pPr>
                            <w:pStyle w:val="4"/>
                          </w:pPr>
                          <w:r>
                            <w:t>第</w:t>
                          </w:r>
                          <w:r>
                            <w:rPr>
                              <w:rFonts w:hint="default" w:ascii="Times New Roman" w:hAnsi="Times New Roman" w:cs="Times New Roman"/>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cs="Times New Roman"/>
                            </w:rPr>
                            <w:t xml:space="preserve"> 页 共 </w:t>
                          </w:r>
                          <w:r>
                            <w:rPr>
                              <w:rFonts w:hint="default" w:ascii="Times New Roman" w:hAnsi="Times New Roman" w:cs="Times New Roman"/>
                            </w:rPr>
                            <w:fldChar w:fldCharType="begin"/>
                          </w:r>
                          <w:r>
                            <w:rPr>
                              <w:rFonts w:hint="default" w:ascii="Times New Roman" w:hAnsi="Times New Roman" w:cs="Times New Roman"/>
                            </w:rPr>
                            <w:instrText xml:space="preserve"> NUMPAGES  \* MERGEFORMAT </w:instrText>
                          </w:r>
                          <w:r>
                            <w:rPr>
                              <w:rFonts w:hint="default" w:ascii="Times New Roman" w:hAnsi="Times New Roman" w:cs="Times New Roman"/>
                            </w:rPr>
                            <w:fldChar w:fldCharType="separate"/>
                          </w:r>
                          <w:r>
                            <w:rPr>
                              <w:rFonts w:hint="default" w:ascii="Times New Roman" w:hAnsi="Times New Roman" w:cs="Times New Roman"/>
                            </w:rPr>
                            <w:t>4</w:t>
                          </w:r>
                          <w:r>
                            <w:rPr>
                              <w:rFonts w:hint="default" w:ascii="Times New Roman" w:hAnsi="Times New Roman" w:cs="Times New Roman"/>
                            </w:rP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FDDBC05">
                    <w:pPr>
                      <w:pStyle w:val="4"/>
                    </w:pPr>
                    <w:r>
                      <w:t>第</w:t>
                    </w:r>
                    <w:r>
                      <w:rPr>
                        <w:rFonts w:hint="default" w:ascii="Times New Roman" w:hAnsi="Times New Roman" w:cs="Times New Roman"/>
                      </w:rPr>
                      <w:t xml:space="preserve"> </w:t>
                    </w: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cs="Times New Roman"/>
                      </w:rPr>
                      <w:t xml:space="preserve"> 页 共 </w:t>
                    </w:r>
                    <w:r>
                      <w:rPr>
                        <w:rFonts w:hint="default" w:ascii="Times New Roman" w:hAnsi="Times New Roman" w:cs="Times New Roman"/>
                      </w:rPr>
                      <w:fldChar w:fldCharType="begin"/>
                    </w:r>
                    <w:r>
                      <w:rPr>
                        <w:rFonts w:hint="default" w:ascii="Times New Roman" w:hAnsi="Times New Roman" w:cs="Times New Roman"/>
                      </w:rPr>
                      <w:instrText xml:space="preserve"> NUMPAGES  \* MERGEFORMAT </w:instrText>
                    </w:r>
                    <w:r>
                      <w:rPr>
                        <w:rFonts w:hint="default" w:ascii="Times New Roman" w:hAnsi="Times New Roman" w:cs="Times New Roman"/>
                      </w:rPr>
                      <w:fldChar w:fldCharType="separate"/>
                    </w:r>
                    <w:r>
                      <w:rPr>
                        <w:rFonts w:hint="default" w:ascii="Times New Roman" w:hAnsi="Times New Roman" w:cs="Times New Roman"/>
                      </w:rPr>
                      <w:t>4</w:t>
                    </w:r>
                    <w:r>
                      <w:rPr>
                        <w:rFonts w:hint="default" w:ascii="Times New Roman" w:hAnsi="Times New Roman" w:cs="Times New Roman"/>
                      </w:rP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7C7464"/>
    <w:rsid w:val="1F9F3DB7"/>
    <w:rsid w:val="297C7464"/>
    <w:rsid w:val="4EC43C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2085</Words>
  <Characters>2183</Characters>
  <Lines>0</Lines>
  <Paragraphs>0</Paragraphs>
  <TotalTime>0</TotalTime>
  <ScaleCrop>false</ScaleCrop>
  <LinksUpToDate>false</LinksUpToDate>
  <CharactersWithSpaces>2187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2026-05-06T08:33:00Z</dcterms:created>
  <dc:creator>z</dc:creator>
  <cp:lastModifiedBy>z</cp:lastModifiedBy>
  <dcterms:modified xsi:type="dcterms:W3CDTF">2026-05-29T02:38:05Z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ACF8CB9B9E62420B9A247F2399FD8910_11</vt:lpwstr>
  </property>
  <property fmtid="{D5CDD505-2E9C-101B-9397-08002B2CF9AE}" pid="4" name="KSOTemplateDocerSaveRecord">
    <vt:lpwstr>eyJoZGlkIjoiMzEwNTM5NzYwMDRjMzkwZTVkZjY2ODkwMGIxNGU0OTUiLCJ1c2VySWQiOiIzMDQ5NDk2NzYifQ==</vt:lpwstr>
  </property>
  <property fmtid="{D5CDD505-2E9C-101B-9397-08002B2CF9AE}" pid="5" name="CWMdf9f9670810a11f1800041aa000041aa">
    <vt:lpwstr>CWMT9QXLVI4vp4gpsBYBz8DPcvQqLFe70Zx3bggFt8qiLbJ8LluPSZoY18NQAalPy0a64gJ8GL+/IIQqhGQHLKWTw==</vt:lpwstr>
  </property>
  <property fmtid="{D5CDD505-2E9C-101B-9397-08002B2CF9AE}" pid="6" name="fileWhereFroms">
    <vt:lpwstr>PpjeLB1gRN0lwrPqMaCTkg71LzDcWeOBBIfFPs79T7mZkJvUKbOn5wEK7u6LzonF08gdphIo0ygNyViV5C0LTlNzRxPAMG5xPZu7uC7bv0uL1Kex5PfDuKQOg5o6epURLaTi0LjsmSIJaFWi9SmBj4BXPt/KUhOY4m5mv1+wFS/WQT5dAwbNsvvFcRmZ1+E9bxVCuTHedtfAlWHpHh6zsU/7YyfdpTFxzKfC6fats9RhmuYDr5NH8EL5iEjk0A8DdeNKsIMgyuefMBeA+jyqHg==</vt:lpwstr>
  </property>
</Properties>
</file>