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BA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沙特阿拉伯劳动人事政策最新发展与合规要点</w:t>
      </w:r>
    </w:p>
    <w:p w14:paraId="309A6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上海保华律师事务所</w:t>
      </w:r>
    </w:p>
    <w:p w14:paraId="457A1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董有菊</w:t>
      </w:r>
    </w:p>
    <w:p w14:paraId="3C30B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F15C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一、发布背景</w:t>
      </w:r>
    </w:p>
    <w:p w14:paraId="61D4F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在“Saudi Vision 2030（沙特2030愿景）”推动下，沙特阿拉伯正持续推进经济结构多元化改革，并通过劳动市场本地化政策强化本国公民就业。根据世界银行（World Bank）</w:t>
      </w:r>
    </w:p>
    <w:p w14:paraId="0FD2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统计，2024年沙特总人口约为3,530万人，劳动人口约1,717万人，总体失业率降至3.9%，为近年来最低水平之一。与此同时，沙特劳动力市场高度依赖外籍员工。根据沙特General Authority for Statistics（GASTAT）发布的《Labour Market Statistics Q1 2024》，非沙特劳动力人数达12,577,634人，占总劳动人口约76.2%。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0"/>
      </w:r>
    </w:p>
    <w:p w14:paraId="4C44F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沙特部长理事会于2024年8月6日批准《劳动法》（Saudi Labour Law）重大修正案，并由皇家法令 M/44 予以公布。根据沙特官方公报 Umm Al-Qura Gazette，修正案于公布后180日生效，即2025年2月18日正式实施。同日，沙特人力资源与社会发展部（MHRSD）发布第115921/1446号部级决定，更新《沙特劳动法实施条例》（合称“沙特新劳动法”），进一步明确操作指引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Style w:val="6"/>
          <w:rFonts w:hint="eastAsia" w:ascii="宋体" w:hAnsi="宋体" w:eastAsia="宋体" w:cs="宋体"/>
          <w:sz w:val="24"/>
          <w:szCs w:val="24"/>
          <w:lang w:eastAsia="zh-CN"/>
        </w:rPr>
        <w:footnoteReference w:id="1"/>
      </w:r>
      <w:r>
        <w:rPr>
          <w:rFonts w:hint="eastAsia" w:ascii="宋体" w:hAnsi="宋体" w:eastAsia="宋体" w:cs="宋体"/>
          <w:sz w:val="24"/>
          <w:szCs w:val="24"/>
        </w:rPr>
        <w:t>此次修法被普遍视为自2015年以来沙特劳动法最重要的一次系统性改革，对所有在沙经营企业，特别是外资企业的人力资源合规提出了新的要求。</w:t>
      </w:r>
    </w:p>
    <w:p w14:paraId="6DAB3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二、核心要点及分析</w:t>
      </w:r>
    </w:p>
    <w:p w14:paraId="4AF82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（一）沙特化政策强化与Nitaqat体系升级</w:t>
      </w:r>
    </w:p>
    <w:p w14:paraId="3978D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沙特化（又称沙特本土化计划）是一项政府政策，要求私营部门雇主雇佣沙特公民填补特定工作岗位。企业遵守沙特化政策是法定义务。沙特化要求取决于三个主要因素：（1）企业分类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（2）企业规模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（3）当前沙特籍员工在劳动力中的比例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新法第26条保留原有规定，任何企业的沙特籍员工比例原则上不得低于劳动力总数的75%；在技术能力或资质不足的情况下，MHRSD部长可临时降低该比例标准。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企业根据沙特化配额完成情况被划分为白金、高绿、中绿、低绿、红色共五档，</w:t>
      </w:r>
      <w:r>
        <w:rPr>
          <w:rFonts w:hint="eastAsia" w:ascii="宋体" w:hAnsi="宋体" w:eastAsia="宋体" w:cs="宋体"/>
          <w:sz w:val="24"/>
          <w:szCs w:val="24"/>
        </w:rPr>
        <w:t>分类结果直接影响企业申请新签证、续签及转移担保的权限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。白金、高绿、中绿：可申请新签证、变更职业、续签、转移担保。低绿：仅可续签现有工作许可。红色：禁止所有外籍用工相关服务。</w:t>
      </w:r>
      <w:r>
        <w:rPr>
          <w:rFonts w:hint="eastAsia" w:ascii="宋体" w:hAnsi="宋体" w:eastAsia="宋体" w:cs="宋体"/>
          <w:sz w:val="24"/>
          <w:szCs w:val="24"/>
        </w:rPr>
        <w:t>2025年以来，MHRSD显著扩大职业沙特化覆盖范围。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如，</w:t>
      </w:r>
      <w:r>
        <w:rPr>
          <w:rFonts w:hint="eastAsia" w:ascii="宋体" w:hAnsi="宋体" w:eastAsia="宋体" w:cs="宋体"/>
          <w:sz w:val="24"/>
          <w:szCs w:val="24"/>
        </w:rPr>
        <w:t>2025年4月17日起，医学实验室、物理治疗、放射学及治疗营养四个医疗领域的职业沙特化比例分别提升至70%、80%、65%及80%，并于同年10月17日扩展适用至全境所有医疗机构。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又如，</w:t>
      </w:r>
      <w:r>
        <w:rPr>
          <w:rFonts w:hint="eastAsia" w:ascii="宋体" w:hAnsi="宋体" w:eastAsia="宋体" w:cs="宋体"/>
          <w:sz w:val="24"/>
          <w:szCs w:val="24"/>
        </w:rPr>
        <w:t>2025年4月21日起，旅游行业五类职位亦被纳入职业沙特化，分三阶段实施100%、70%、50%、30%及50%不等的比例要求。职业沙特化比例与Nitaqat企业分类并行实施，未达标企业将面临罚款、信用评级下调、政府服务受限甚至被暂停营业等处罚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2"/>
      </w:r>
    </w:p>
    <w:p w14:paraId="7007E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法第35条进一步授权MHRSD对未满足沙特化要求的雇主，拒绝其外籍员工工作许可的续签申请。同时，修正案引入保护性条款，允许受工作许可不续签影响的员工在不获得原雇主同意的情况下，将劳动关系转移至其他雇主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3"/>
      </w:r>
    </w:p>
    <w:p w14:paraId="133FC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（二）劳动合同与外籍劳工管理新规</w:t>
      </w:r>
    </w:p>
    <w:p w14:paraId="7F6D9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法对非沙特籍员工的雇佣合同作出更严格的结构性要求。第37条明确规定，非沙特员工的雇佣合同必须为书面形式且为固定期限；若合同未约定期限，则自员工实际履职之日起推定为一年，期满后自动续期相同期限。此外，雇主根据《劳动法》第61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规定</w:t>
      </w:r>
      <w:r>
        <w:rPr>
          <w:rFonts w:hint="eastAsia" w:ascii="宋体" w:hAnsi="宋体" w:eastAsia="宋体" w:cs="宋体"/>
          <w:sz w:val="24"/>
          <w:szCs w:val="24"/>
        </w:rPr>
        <w:t>有义务提供充足住房和从居住地到工作地点的适当交通，或改为提供现金津贴。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4"/>
      </w:r>
    </w:p>
    <w:p w14:paraId="1A678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在执法层面，根据新法第229条，未经许可从事招聘或提供外包服务的，将面临200,000至500,000沙特里亚尔的罚款；对于一般劳动违规，罚款上限可达250,000里亚尔。</w:t>
      </w:r>
    </w:p>
    <w:p w14:paraId="41CA8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（三）试用期、解雇与辞职权利调整</w:t>
      </w:r>
    </w:p>
    <w:p w14:paraId="033FE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法将试用期上限延长至180天，试用期内任何一方均可解除合同且无需提前通知。在解雇与辞职程序方面，对于无固定期限合同，员工须提前至少30天通知辞职，雇主解雇沙特籍员工则须提供60天通知；固定期限合同员工现享有法定辞职权，提前30天通知即可辞职，无需雇主同意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5"/>
      </w:r>
    </w:p>
    <w:p w14:paraId="2DAA6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（四）休假权利与反歧视保护扩展</w:t>
      </w:r>
    </w:p>
    <w:p w14:paraId="65BBA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法显著扩展了员工休假权利。产假由10周增至12周，其中产后强制休假6周；新增陪产假3天，须在孩子出生后7日内使用；丧假范围扩展至兄弟姐妹去世，给予3天带薪假期。在反歧视方面，新法明确禁止雇主在招聘及晋升中基于种族、肤色、性别、年龄、残疾或社会地位的歧视，并要求雇主建立内部申诉机制，员工可在30日内提出申诉，雇主须在15日内回应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6"/>
      </w:r>
    </w:p>
    <w:p w14:paraId="1C9D3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（五）工资、社保与职业培训义务</w:t>
      </w:r>
    </w:p>
    <w:p w14:paraId="1542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根据最新修订，沙特阿拉伯对私营部门的沙特公民实施最低工资政策。目前，全职沙特员工的最低工资为每月4,000沙特里亚尔（以完全计入沙特化的“Nitaqat”计划）。但私营部门的外籍员工无强制最低工资要求。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7"/>
      </w:r>
    </w:p>
    <w:p w14:paraId="021E5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在社保方面，雇主须为沙特籍员工向社会保险总局（GOSI）缴纳养老保险、失业保险及工伤保险，养老金费率目前为18%（雇主与员工各承担9%），并将在2025年至2028年间逐步上调至22%。外籍员工则须由雇主缴纳2%的职业补偿费。</w:t>
      </w:r>
    </w:p>
    <w:p w14:paraId="41976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新法第42条将雇主对沙特员工的培训义务从准备升级为制定全面的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培训与资格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政策；第43条授权MHRSD部长为沙特员工设定培训配额，雇主必须遵守。</w:t>
      </w:r>
      <w:r>
        <w:rPr>
          <w:rStyle w:val="6"/>
          <w:rFonts w:hint="eastAsia" w:ascii="宋体" w:hAnsi="宋体" w:eastAsia="宋体" w:cs="宋体"/>
          <w:sz w:val="24"/>
          <w:szCs w:val="24"/>
        </w:rPr>
        <w:footnoteReference w:id="8"/>
      </w:r>
      <w:bookmarkStart w:id="0" w:name="_GoBack"/>
      <w:bookmarkEnd w:id="0"/>
    </w:p>
    <w:p w14:paraId="446E0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三、影响评估</w:t>
      </w:r>
    </w:p>
    <w:p w14:paraId="66325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（一）受影响行业与主体</w:t>
      </w:r>
    </w:p>
    <w:p w14:paraId="3810E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劳动法及沙特化政策的强化对建筑、工程承包、制造、零售、旅游、医疗及信息技术等私营部门行业产生直接影响。特别是医疗、旅游等行业面临的职业沙特化比例要求，将迫使企业重新评估人力资源结构。所有在沙特注册的私营公司、商业机构均须遵守新法。</w:t>
      </w:r>
    </w:p>
    <w:p w14:paraId="4720D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（二）对雇主合规成本的影响</w:t>
      </w:r>
    </w:p>
    <w:p w14:paraId="17BA5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雇主需承担新增的合规成本，包括修订雇佣合同以符合书面及固定期限要求、在Qiwa平台完成合同登记、建立员工申诉及纪律处分内部程序、为沙特员工制定培训计划，以及可能因招聘沙特国民而产生的更高薪酬支出。对于屡次违规者，可能面临高达500,000里亚尔的罚款及工作许可限制，合规风险显著上升。</w:t>
      </w:r>
    </w:p>
    <w:p w14:paraId="70669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（三）对外籍劳工管理的影响</w:t>
      </w:r>
    </w:p>
    <w:p w14:paraId="324B0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法通过工作许可续签控制，进一步收紧了外籍劳工的准入。非沙特员工合同默认一年期及自动续期规则，在一定程度上增加了雇主的用工管理成本。同时，工作许可不续签情况下的员工自由转移机制，虽保护了员工权益，但也增加了企业人才流失风险。</w:t>
      </w:r>
    </w:p>
    <w:p w14:paraId="52CB9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（四）对中资企业的特别提示</w:t>
      </w:r>
    </w:p>
    <w:p w14:paraId="74881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在沙中资企业应特别关注以下合规要点：第一，立即审查现有非沙特员工的劳动合同，确保为书面固定期限合同并明确列明津贴；第二，核算Nitaqat分类及所在行业职业沙特化比例，必要时通过Parallel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Nationalisation计划支付月度费用以维持或提升分类等级；第三，建立符合180天上限的试用期管理制度及30日/60日辞职回应机制；第四，调整薪酬系统以匹配GOSI养老金逐步上调要求；第五，密切关注MHRSD后续发布的部长级执行决定，以及时调整合规策略。</w:t>
      </w:r>
    </w:p>
    <w:p w14:paraId="1B497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8">
    <w:p>
      <w:r>
        <w:separator/>
      </w:r>
    </w:p>
  </w:footnote>
  <w:footnote w:type="continuationSeparator" w:id="19">
    <w:p>
      <w:r>
        <w:continuationSeparator/>
      </w:r>
    </w:p>
  </w:footnote>
  <w:footnote w:id="0">
    <w:p w14:paraId="7C82DEBC">
      <w:pPr>
        <w:pStyle w:val="2"/>
        <w:snapToGrid w:val="0"/>
        <w:rPr>
          <w:rFonts w:hint="eastAsia" w:eastAsiaTheme="minorEastAsia"/>
          <w:lang w:eastAsia="zh-CN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上海市“走出去”中心：《沙特阿拉伯国别研究指南》，访问链接：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"https://segg.sh.gov.cn/zxfw/yjbg/gb/xyfz/stalb/index/84a7d0323b5e4a84b7f1fad91ded32cc.pdf"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https://segg.sh.gov.cn/zxfw/yjbg/gb/xyfz/stalb/index/84a7d0323b5e4a84b7f1fad91ded32cc.pdf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</w:p>
  </w:footnote>
  <w:footnote w:id="1">
    <w:p w14:paraId="2BDB1496">
      <w:pPr>
        <w:pStyle w:val="2"/>
        <w:snapToGrid w:val="0"/>
        <w:rPr>
          <w:rFonts w:hint="eastAsia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四川省数字贸易网：《中国企业</w:t>
      </w:r>
      <w:r>
        <w:rPr>
          <w:rFonts w:hint="eastAsia"/>
          <w:lang w:eastAsia="zh-CN"/>
        </w:rPr>
        <w:t>“</w:t>
      </w:r>
      <w:r>
        <w:rPr>
          <w:rFonts w:hint="eastAsia"/>
        </w:rPr>
        <w:t>走出去</w:t>
      </w:r>
      <w:r>
        <w:rPr>
          <w:rFonts w:hint="eastAsia"/>
          <w:lang w:eastAsia="zh-CN"/>
        </w:rPr>
        <w:t>”</w:t>
      </w:r>
      <w:r>
        <w:rPr>
          <w:rFonts w:hint="eastAsia"/>
        </w:rPr>
        <w:t>：沙特劳动用工合规指南2025（一）》，2025年7月1日，访问链接：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"https://www.tradesichuan.com/jmzx/2211.html。"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https://www.tradesichuan.com/jmzx/2211.html。</w:t>
      </w:r>
      <w:r>
        <w:rPr>
          <w:rFonts w:hint="eastAsia"/>
        </w:rPr>
        <w:fldChar w:fldCharType="end"/>
      </w:r>
    </w:p>
  </w:footnote>
  <w:footnote w:id="2">
    <w:p w14:paraId="47C610AA"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四川省数字贸易网：《中国企业</w:t>
      </w:r>
      <w:r>
        <w:rPr>
          <w:rFonts w:hint="eastAsia"/>
          <w:lang w:eastAsia="zh-CN"/>
        </w:rPr>
        <w:t>“</w:t>
      </w:r>
      <w:r>
        <w:rPr>
          <w:rFonts w:hint="eastAsia"/>
        </w:rPr>
        <w:t>走出去</w:t>
      </w:r>
      <w:r>
        <w:rPr>
          <w:rFonts w:hint="eastAsia"/>
          <w:lang w:eastAsia="zh-CN"/>
        </w:rPr>
        <w:t>”</w:t>
      </w:r>
      <w:r>
        <w:rPr>
          <w:rFonts w:hint="eastAsia"/>
        </w:rPr>
        <w:t>：沙特劳动用工合规指南2025（一）》，2025年7月1日，访问链接：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"https://www.tradesichuan.com/jmzx/2211.html。"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https://www.tradesichuan.com/jmzx/2211.html。</w:t>
      </w:r>
      <w:r>
        <w:rPr>
          <w:rFonts w:hint="eastAsia"/>
        </w:rPr>
        <w:fldChar w:fldCharType="end"/>
      </w:r>
    </w:p>
  </w:footnote>
  <w:footnote w:id="3">
    <w:p w14:paraId="5D6A355A">
      <w:pPr>
        <w:pStyle w:val="2"/>
        <w:snapToGrid w:val="0"/>
        <w:rPr>
          <w:rFonts w:hint="eastAsia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DLA Piper：《Amendments to the KSA Labour Law (update)》，2024年12月19日，访问链接：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"https://knowledge.dlapiper.com/dlapiperknowledge/globalemploymentlatestdevelopments/2024/Amendments-to-the-KSA-Labour-Law。"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https://knowledge.dlapiper.com/dlapiperknowledge/globalemploymentlatestdevelopments/2024/Amendments-to-the-KSA-Labour-Law。</w:t>
      </w:r>
      <w:r>
        <w:rPr>
          <w:rFonts w:hint="eastAsia"/>
        </w:rPr>
        <w:fldChar w:fldCharType="end"/>
      </w:r>
    </w:p>
    <w:p w14:paraId="2CC05945">
      <w:pPr>
        <w:pStyle w:val="2"/>
        <w:snapToGrid w:val="0"/>
        <w:rPr>
          <w:rFonts w:hint="eastAsia"/>
        </w:rPr>
      </w:pPr>
    </w:p>
  </w:footnote>
  <w:footnote w:id="4">
    <w:p w14:paraId="71AB4CFB"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DLA Piper：《Amendments to the KSA Labour Law (update)》，2024年12月19日，访问链接：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"https://knowledge.dlapiper.com/dlapiperknowledge/globalemploymentlatestdevelopments/2024/Amendments-to-the-KSA-Labour-Law。"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https://knowledge.dlapiper.com/dlapiperknowledge/globalemploymentlatestdevelopments/2024/Amendments-to-the-KSA-Labour-Law。</w:t>
      </w:r>
      <w:r>
        <w:rPr>
          <w:rFonts w:hint="eastAsia"/>
        </w:rPr>
        <w:fldChar w:fldCharType="end"/>
      </w:r>
    </w:p>
  </w:footnote>
  <w:footnote w:id="5">
    <w:p w14:paraId="46274671">
      <w:pPr>
        <w:pStyle w:val="2"/>
        <w:snapToGrid w:val="0"/>
        <w:rPr>
          <w:rFonts w:hint="default" w:eastAsiaTheme="minorEastAsia"/>
          <w:lang w:val="en-US" w:eastAsia="zh-CN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DLA Piper：《Amendments to the KSA Labour Law (update)》，2024年12月19日，访问链接：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"https://knowledge.dlapiper.com/dlapiperknowledge/globalemploymentlatestdevelopments/2024/Amendments-to-the-KSA-Labour-Law。"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https://knowledge.dlapiper.com/dlapiperknowledge/globalemploymentlatestdevelopments/2024/Amendments-to-the-KSA-Labour-Law。</w:t>
      </w:r>
      <w:r>
        <w:rPr>
          <w:rFonts w:hint="eastAsia"/>
        </w:rPr>
        <w:fldChar w:fldCharType="end"/>
      </w:r>
    </w:p>
  </w:footnote>
  <w:footnote w:id="6">
    <w:p w14:paraId="7343E9FC"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DLA Piper：《Amendments to the KSA Labour Law (update)》，2024年12月19日，访问链接：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"https://knowledge.dlapiper.com/dlapiperknowledge/globalemploymentlatestdevelopments/2024/Amendments-to-the-KSA-Labour-Law。"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https://knowledge.dlapiper.com/dlapiperknowledge/globalemploymentlatestdevelopments/2024/Amendments-to-the-KSA-Labour-Law。</w:t>
      </w:r>
      <w:r>
        <w:rPr>
          <w:rFonts w:hint="eastAsia"/>
        </w:rPr>
        <w:fldChar w:fldCharType="end"/>
      </w:r>
    </w:p>
  </w:footnote>
  <w:footnote w:id="7">
    <w:p w14:paraId="39B7F319">
      <w:pPr>
        <w:pStyle w:val="2"/>
        <w:snapToGrid w:val="0"/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四川省数字贸易网：《中国企业</w:t>
      </w:r>
      <w:r>
        <w:rPr>
          <w:rFonts w:hint="eastAsia"/>
          <w:lang w:eastAsia="zh-CN"/>
        </w:rPr>
        <w:t>“</w:t>
      </w:r>
      <w:r>
        <w:rPr>
          <w:rFonts w:hint="eastAsia"/>
        </w:rPr>
        <w:t>走出去</w:t>
      </w:r>
      <w:r>
        <w:rPr>
          <w:rFonts w:hint="eastAsia"/>
          <w:lang w:eastAsia="zh-CN"/>
        </w:rPr>
        <w:t>”</w:t>
      </w:r>
      <w:r>
        <w:rPr>
          <w:rFonts w:hint="eastAsia"/>
        </w:rPr>
        <w:t>：沙特劳动用工合规指南2025（一）》，2025年7月1日，访问链接：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"https://www.tradesichuan.com/jmzx/2211.html。"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https://www.tradesichuan.com/jmzx/2211.html。</w:t>
      </w:r>
      <w:r>
        <w:rPr>
          <w:rFonts w:hint="eastAsia"/>
        </w:rPr>
        <w:fldChar w:fldCharType="end"/>
      </w:r>
    </w:p>
  </w:footnote>
  <w:footnote w:id="8">
    <w:p w14:paraId="4C560ACA">
      <w:pPr>
        <w:pStyle w:val="2"/>
        <w:snapToGrid w:val="0"/>
        <w:rPr>
          <w:rFonts w:hint="default" w:eastAsiaTheme="minorEastAsia"/>
          <w:lang w:val="en-US" w:eastAsia="zh-CN"/>
        </w:rPr>
      </w:pPr>
      <w:r>
        <w:rPr>
          <w:rStyle w:val="6"/>
        </w:rPr>
        <w:footnoteRef/>
      </w:r>
      <w:r>
        <w:t xml:space="preserve"> </w:t>
      </w:r>
      <w:r>
        <w:rPr>
          <w:rFonts w:hint="eastAsia"/>
        </w:rPr>
        <w:t>DLA Piper：《Amendments to the KSA Labour Law (update)》，2024年12月19日，访问链接：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"https://knowledge.dlapiper.com/dlapiperknowledge/globalemploymentlatestdevelopments/2024/Amendments-to-the-KSA-Labour-Law。"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https://knowledge.dlapiper.com/dlapiperknowledge/globalemploymentlatestdevelopments/2024/Amendments-to-the-KSA-Labour-Law。</w:t>
      </w:r>
      <w:r>
        <w:rPr>
          <w:rFonts w:hint="eastAsia"/>
        </w:rPr>
        <w:fldChar w:fldCharType="end"/>
      </w:r>
    </w:p>
    <w:p w14:paraId="18E32969">
      <w:pPr>
        <w:pStyle w:val="2"/>
        <w:snapToGrid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18"/>
    <w:footnote w:id="19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C603F"/>
    <w:rsid w:val="2F2C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styleId="6">
    <w:name w:val="footnote reference"/>
    <w:basedOn w:val="4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2026-05-10T05:50:00Z</dcterms:created>
  <dc:creator>大桔子橙</dc:creator>
  <cp:lastModifiedBy>大桔子橙</cp:lastModifiedBy>
  <dcterms:modified xsi:type="dcterms:W3CDTF">2026-05-10T07:23:58Z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9C320FAF18E6499B976DF656B4331692_11</vt:lpwstr>
  </property>
  <property fmtid="{D5CDD505-2E9C-101B-9397-08002B2CF9AE}" pid="4" name="KSOTemplateDocerSaveRecord">
    <vt:lpwstr>eyJoZGlkIjoiNDlmMTM0ZjcyMGJlNmMxZjFkMWFmZTgwMTkxYTQ5NGYiLCJ1c2VySWQiOiI2NTI3MTk2MDkifQ==</vt:lpwstr>
  </property>
</Properties>
</file>