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3AD66">
      <w:pPr>
        <w:keepNext w:val="0"/>
        <w:keepLines w:val="0"/>
        <w:pageBreakBefore w:val="0"/>
        <w:kinsoku/>
        <w:wordWrap/>
        <w:overflowPunct/>
        <w:topLinePunct w:val="0"/>
        <w:autoSpaceDE/>
        <w:autoSpaceDN/>
        <w:bidi w:val="0"/>
        <w:adjustRightInd w:val="0"/>
        <w:snapToGrid w:val="0"/>
        <w:spacing w:line="360" w:lineRule="auto"/>
        <w:ind w:left="0" w:leftChars="0" w:firstLine="602" w:firstLineChars="200"/>
        <w:jc w:val="center"/>
        <w:textAlignment w:val="auto"/>
        <w:rPr>
          <w:rFonts w:hint="eastAsia" w:ascii="仿宋" w:hAnsi="仿宋" w:eastAsia="仿宋" w:cs="仿宋"/>
          <w:sz w:val="30"/>
          <w:szCs w:val="30"/>
        </w:rPr>
      </w:pPr>
      <w:r>
        <w:rPr>
          <w:rFonts w:hint="eastAsia" w:ascii="仿宋" w:hAnsi="仿宋" w:eastAsia="仿宋" w:cs="仿宋"/>
          <w:b/>
          <w:bCs/>
          <w:sz w:val="30"/>
          <w:szCs w:val="30"/>
          <w:vertAlign w:val="baseline"/>
          <w:lang w:val="en-US" w:eastAsia="zh-CN"/>
        </w:rPr>
        <w:t>海运短量货损索赔的举证之殇——从“M”轮大豆案看保险代位追偿的败因</w:t>
      </w:r>
    </w:p>
    <w:p w14:paraId="7EAF47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30"/>
          <w:szCs w:val="30"/>
        </w:rPr>
      </w:pPr>
      <w:r>
        <w:rPr>
          <w:rFonts w:hint="eastAsia" w:ascii="仿宋" w:hAnsi="仿宋" w:eastAsia="仿宋" w:cs="仿宋"/>
          <w:sz w:val="30"/>
          <w:szCs w:val="30"/>
        </w:rPr>
        <w:t>所在单位: 浙江泽大(上海)律师事务所</w:t>
      </w:r>
    </w:p>
    <w:p w14:paraId="0B7DA2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30"/>
          <w:szCs w:val="30"/>
        </w:rPr>
      </w:pPr>
      <w:r>
        <w:rPr>
          <w:rFonts w:hint="eastAsia" w:ascii="仿宋" w:hAnsi="仿宋" w:eastAsia="仿宋" w:cs="仿宋"/>
          <w:sz w:val="30"/>
          <w:szCs w:val="30"/>
        </w:rPr>
        <w:t>作者: 曾彩丽</w:t>
      </w:r>
    </w:p>
    <w:p w14:paraId="45B45521"/>
    <w:p w14:paraId="38DD3338"/>
    <w:p w14:paraId="05378DC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 xml:space="preserve">一、案例导读 </w:t>
      </w:r>
    </w:p>
    <w:p w14:paraId="421E0B3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r>
        <w:rPr>
          <w:rFonts w:hint="eastAsia" w:ascii="仿宋" w:hAnsi="仿宋" w:eastAsia="仿宋" w:cs="仿宋"/>
          <w:b/>
          <w:bCs/>
          <w:sz w:val="30"/>
          <w:szCs w:val="30"/>
        </w:rPr>
        <w:t xml:space="preserve">关键词: </w:t>
      </w:r>
      <w:r>
        <w:rPr>
          <w:rFonts w:hint="eastAsia" w:ascii="仿宋" w:hAnsi="仿宋" w:eastAsia="仿宋" w:cs="仿宋"/>
          <w:b w:val="0"/>
          <w:bCs w:val="0"/>
          <w:sz w:val="30"/>
          <w:szCs w:val="30"/>
        </w:rPr>
        <w:t>海上货物运输合同</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保险代位求偿</w:t>
      </w:r>
      <w:r>
        <w:rPr>
          <w:rFonts w:hint="eastAsia" w:ascii="仿宋" w:hAnsi="仿宋" w:eastAsia="仿宋" w:cs="仿宋"/>
          <w:b w:val="0"/>
          <w:bCs w:val="0"/>
          <w:sz w:val="30"/>
          <w:szCs w:val="30"/>
          <w:lang w:val="en-US" w:eastAsia="zh-CN"/>
        </w:rPr>
        <w:t>权</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货物短量</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举证责任</w:t>
      </w:r>
    </w:p>
    <w:p w14:paraId="22BDC4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p>
    <w:p w14:paraId="1C60ACA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裁决要旨:</w:t>
      </w:r>
    </w:p>
    <w:p w14:paraId="02E890F3">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货物短量举证责任：货方（保险人行使代位求偿权）主张承运人责任期间内发生货物短量，需提供证据证明卸货港的重量数据能够对应承运人责任期间结束（即货物卸下船时）的重量。若重量证书的计重地点（如岸磅）已超出承运人掌管期间，且无证据排除货物在出舱后至计重前发生重量变化的可能性，则该重量证书不能作为认定承运人责任期间内发生短量的有效证据。</w:t>
      </w:r>
    </w:p>
    <w:p w14:paraId="55A0F2BE">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货物损坏举证责任：主张货损的当事人需承担存在货损事实的初步举证责任。当主管机关（如海关）依法出具的、未发现货损的检验证书，与货方单方委托检验机构出具、且与涉案货物关联性存疑的报告结论相矛盾时，应优先采信主管机关的公文证书。在货物已被收货人混合加工处理的情况下，进一步加大了货方证明货损实际存在及其具体范围的难度。</w:t>
      </w:r>
    </w:p>
    <w:p w14:paraId="7DB7A2A8">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检验费承担：根据《中华人民共和国保险法》第六十四条，保险人为查明和确定保险事故的性质、原因和损失程度所支付的必要的、合理的费用，依法由保险人自行承担，无权就此向承运人追偿。</w:t>
      </w:r>
    </w:p>
    <w:p w14:paraId="4A74D9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29A1F65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典型意义: </w:t>
      </w:r>
    </w:p>
    <w:p w14:paraId="31C12B51">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本案清晰地展现了在海事货物索赔纠纷中，证据的有效性、关联性及证明力是决定诉讼成败的关键。对于保险人而言，在支付保险赔款并取得代位求偿权后，向承运人追偿时，必须确保其依据的证据链完整、坚实，能够直接、有效地证明损失发生在承运人的法定责任期间内，且损失确实存在。本案判决对保险公司在承保、理赔及后续追偿中的风险控制与证据固定工作具有重要警示作用。</w:t>
      </w:r>
    </w:p>
    <w:p w14:paraId="1098C7D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206310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二、案情背景 </w:t>
      </w:r>
    </w:p>
    <w:p w14:paraId="56D0FFB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2018年6月，原告</w:t>
      </w:r>
      <w:r>
        <w:rPr>
          <w:rFonts w:hint="eastAsia" w:ascii="仿宋" w:hAnsi="仿宋" w:eastAsia="仿宋" w:cs="仿宋"/>
          <w:b w:val="0"/>
          <w:bCs w:val="0"/>
          <w:sz w:val="30"/>
          <w:szCs w:val="30"/>
          <w:lang w:val="en-US" w:eastAsia="zh-CN"/>
        </w:rPr>
        <w:t>A保险公司</w:t>
      </w:r>
      <w:r>
        <w:rPr>
          <w:rFonts w:hint="eastAsia" w:ascii="仿宋" w:hAnsi="仿宋" w:eastAsia="仿宋" w:cs="仿宋"/>
          <w:b w:val="0"/>
          <w:bCs w:val="0"/>
          <w:sz w:val="30"/>
          <w:szCs w:val="30"/>
        </w:rPr>
        <w:t>承保的一批65,850吨巴西大豆，由被告</w:t>
      </w:r>
      <w:r>
        <w:rPr>
          <w:rFonts w:hint="eastAsia" w:ascii="仿宋" w:hAnsi="仿宋" w:eastAsia="仿宋" w:cs="仿宋"/>
          <w:b w:val="0"/>
          <w:bCs w:val="0"/>
          <w:sz w:val="30"/>
          <w:szCs w:val="30"/>
          <w:lang w:val="en-US" w:eastAsia="zh-CN"/>
        </w:rPr>
        <w:t>B</w:t>
      </w:r>
      <w:r>
        <w:rPr>
          <w:rFonts w:hint="eastAsia" w:ascii="仿宋" w:hAnsi="仿宋" w:eastAsia="仿宋" w:cs="仿宋"/>
          <w:b w:val="0"/>
          <w:bCs w:val="0"/>
          <w:sz w:val="30"/>
          <w:szCs w:val="30"/>
        </w:rPr>
        <w:t>领航公司所有的“M”轮承运，自巴西运至中国天津。船长签发了清洁提单。货物抵港后，</w:t>
      </w:r>
      <w:r>
        <w:rPr>
          <w:rFonts w:hint="eastAsia" w:ascii="仿宋" w:hAnsi="仿宋" w:eastAsia="仿宋" w:cs="仿宋"/>
          <w:b w:val="0"/>
          <w:bCs w:val="0"/>
          <w:sz w:val="30"/>
          <w:szCs w:val="30"/>
          <w:lang w:val="en-US" w:eastAsia="zh-CN"/>
        </w:rPr>
        <w:t>A保险公司</w:t>
      </w:r>
      <w:r>
        <w:rPr>
          <w:rFonts w:hint="eastAsia" w:ascii="仿宋" w:hAnsi="仿宋" w:eastAsia="仿宋" w:cs="仿宋"/>
          <w:b w:val="0"/>
          <w:bCs w:val="0"/>
          <w:sz w:val="30"/>
          <w:szCs w:val="30"/>
        </w:rPr>
        <w:t>声称发现货物短量和存在碳化、霉变等损坏，并依据保险合同向收货人</w:t>
      </w:r>
      <w:r>
        <w:rPr>
          <w:rFonts w:hint="eastAsia" w:ascii="仿宋" w:hAnsi="仿宋" w:eastAsia="仿宋" w:cs="仿宋"/>
          <w:b w:val="0"/>
          <w:bCs w:val="0"/>
          <w:sz w:val="30"/>
          <w:szCs w:val="30"/>
          <w:lang w:val="en-US" w:eastAsia="zh-CN"/>
        </w:rPr>
        <w:t>C</w:t>
      </w:r>
      <w:r>
        <w:rPr>
          <w:rFonts w:hint="eastAsia" w:ascii="仿宋" w:hAnsi="仿宋" w:eastAsia="仿宋" w:cs="仿宋"/>
          <w:b w:val="0"/>
          <w:bCs w:val="0"/>
          <w:sz w:val="30"/>
          <w:szCs w:val="30"/>
        </w:rPr>
        <w:t>公司支付了短量赔款803,495.26元、货损赔款1,443,755.57元及检验费42,276.69元，继而取得保险代位求偿权，向承运人</w:t>
      </w:r>
      <w:r>
        <w:rPr>
          <w:rFonts w:hint="eastAsia" w:ascii="仿宋" w:hAnsi="仿宋" w:eastAsia="仿宋" w:cs="仿宋"/>
          <w:b w:val="0"/>
          <w:bCs w:val="0"/>
          <w:sz w:val="30"/>
          <w:szCs w:val="30"/>
          <w:lang w:val="en-US" w:eastAsia="zh-CN"/>
        </w:rPr>
        <w:t>B</w:t>
      </w:r>
      <w:r>
        <w:rPr>
          <w:rFonts w:hint="eastAsia" w:ascii="仿宋" w:hAnsi="仿宋" w:eastAsia="仿宋" w:cs="仿宋"/>
          <w:b w:val="0"/>
          <w:bCs w:val="0"/>
          <w:sz w:val="30"/>
          <w:szCs w:val="30"/>
        </w:rPr>
        <w:t>领航公司提起诉讼索赔上述全部款项。</w:t>
      </w:r>
    </w:p>
    <w:p w14:paraId="51EC96F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0CE2567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三、核心争议焦点及结果 </w:t>
      </w:r>
    </w:p>
    <w:p w14:paraId="56E1650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rPr>
        <w:t>核心争议焦点:</w:t>
      </w:r>
    </w:p>
    <w:p w14:paraId="6BAF24B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在承运人责任期间内，涉案货物是否发生了短量？</w:t>
      </w:r>
    </w:p>
    <w:p w14:paraId="4BE0332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在承运人责任期间内，涉案货物是否发生了损坏（碳化、腐败发酵、霉变）？</w:t>
      </w:r>
    </w:p>
    <w:p w14:paraId="4CDA8C6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保险人支付的检验费是否应由承运人承担？</w:t>
      </w:r>
    </w:p>
    <w:p w14:paraId="3FC146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49251A9E">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裁判结果: </w:t>
      </w:r>
    </w:p>
    <w:p w14:paraId="192DA1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经判决</w:t>
      </w:r>
      <w:r>
        <w:rPr>
          <w:rFonts w:hint="eastAsia" w:ascii="仿宋" w:hAnsi="仿宋" w:eastAsia="仿宋" w:cs="仿宋"/>
          <w:b w:val="0"/>
          <w:bCs w:val="0"/>
          <w:sz w:val="30"/>
          <w:szCs w:val="30"/>
        </w:rPr>
        <w:t>驳回原告</w:t>
      </w:r>
      <w:r>
        <w:rPr>
          <w:rFonts w:hint="eastAsia" w:ascii="仿宋" w:hAnsi="仿宋" w:eastAsia="仿宋" w:cs="仿宋"/>
          <w:b w:val="0"/>
          <w:bCs w:val="0"/>
          <w:sz w:val="30"/>
          <w:szCs w:val="30"/>
          <w:lang w:val="en-US" w:eastAsia="zh-CN"/>
        </w:rPr>
        <w:t>A保险公司</w:t>
      </w:r>
      <w:r>
        <w:rPr>
          <w:rFonts w:hint="eastAsia" w:ascii="仿宋" w:hAnsi="仿宋" w:eastAsia="仿宋" w:cs="仿宋"/>
          <w:b w:val="0"/>
          <w:bCs w:val="0"/>
          <w:sz w:val="30"/>
          <w:szCs w:val="30"/>
        </w:rPr>
        <w:t>的所有诉讼请求，案件受理费由</w:t>
      </w:r>
      <w:r>
        <w:rPr>
          <w:rFonts w:hint="eastAsia" w:ascii="仿宋" w:hAnsi="仿宋" w:eastAsia="仿宋" w:cs="仿宋"/>
          <w:b w:val="0"/>
          <w:bCs w:val="0"/>
          <w:sz w:val="30"/>
          <w:szCs w:val="30"/>
          <w:lang w:val="en-US" w:eastAsia="zh-CN"/>
        </w:rPr>
        <w:t>A保险公司</w:t>
      </w:r>
      <w:r>
        <w:rPr>
          <w:rFonts w:hint="eastAsia" w:ascii="仿宋" w:hAnsi="仿宋" w:eastAsia="仿宋" w:cs="仿宋"/>
          <w:b w:val="0"/>
          <w:bCs w:val="0"/>
          <w:sz w:val="30"/>
          <w:szCs w:val="30"/>
        </w:rPr>
        <w:t>承担。</w:t>
      </w:r>
    </w:p>
    <w:p w14:paraId="172E0EC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 xml:space="preserve"> </w:t>
      </w:r>
    </w:p>
    <w:p w14:paraId="66FA73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四、案例评析 </w:t>
      </w:r>
    </w:p>
    <w:p w14:paraId="3B08637B">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本案的判决结果突出体现了海事诉讼中“证据为王”的原则，尤其在以下方面具有启示性：</w:t>
      </w:r>
    </w:p>
    <w:p w14:paraId="3596938A">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短量索赔的“最后一公里”证据缺失：原告主张短量的核心证据是天津海关出具的《重量证书》，记载实衡重量为65,421.580吨。然而，法院指出该证书明确记载重量是在卸货后，使用校准衡器进行衡重所得。由于散货运输中，货物从船舱卸出后，需经运输才能到达岸上衡器，此过程可能存在撒漏、水分蒸发等导致重量变化的风险。原告未能提供证据证明“卸货后至衡器计重前”货物重量未发生变化，即无法将岸磅重量等同于卸离船舶时的重量，因此该证据无法证明短量发生在承运人责任期间内。这提示索赔方，在主张散货短量时，应尽可能获取水尺计量报告等更能直接反映船边交接重量的证据，或固定证据链以证明岸磅重量可准确追溯至船边重量。</w:t>
      </w:r>
    </w:p>
    <w:p w14:paraId="06F6D66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公文证书的优先证明力与货损举证的高标准：在货损争议上，原告提供了SGS南京检验报告和以其为依据的公估报告。而被告提供了天津海关出具的《品质检验证书》，该证书依据国家检验标准及贸易合同进行检验，仅认定蛋白质含量不符合合同，未记载存在发霉、变质等原告主张的损坏。法院认为，天津海关作为法定检验机关，其出具的证书属于公文书证，证明力较高。相比之下，SGS南京报告与涉案货物的关联性无法确认，且报告所示霉变率若属实，货物不可能被海关放行用于食品加工，该结论与事实逻辑相悖。因此，法院采信了海关证书的结论。此外，涉案货物已被收货人全部混合加工，致使货物原始状态灭失，原告主张的货损范围、程度均无法核实，进一步导致其举证失败。这表明，在货损索赔中，货方应首先确保检验机构的权威性与取样程序的合法性，并在可能的情况下申请证据保全，避免货物状态改变导致举证不能。</w:t>
      </w:r>
    </w:p>
    <w:p w14:paraId="72FD96E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保险人追偿费用的承担主体明确：法院依据《保险法》第六十四条，明确指出检验费属于保险人为确定保险事故情况自行支出的必要费用，应由保险人承担，无权向承运人追偿。这厘清了保险追偿中损失与费用的界限。</w:t>
      </w:r>
    </w:p>
    <w:p w14:paraId="5FF60B8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332CEA7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 xml:space="preserve">五、价值和示范作用（对出海企业的启示和风险防范建议） </w:t>
      </w:r>
    </w:p>
    <w:p w14:paraId="3964767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7F1A080E">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对贸易方与货主的启示：</w:t>
      </w:r>
    </w:p>
    <w:p w14:paraId="127BBCB2">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重视卸货港检验与证据保全：在发现货损货差嫌疑时，应立即申请独立的检验机构（最好与承运人联合）进行检验，并确保检验样本的提取、保存、送检程序合法合规，形成完整的证据链。</w:t>
      </w:r>
    </w:p>
    <w:p w14:paraId="29E6CEED">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谨慎处理疑似受损货物：在争议未解决前，应避免对疑似受损货物进行混合、加工或转售，否则可能因证据灭失而丧失索赔权。必要时，应向法院申请证据保全。</w:t>
      </w:r>
    </w:p>
    <w:p w14:paraId="010ACE56">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明确约定检验标准与机构：在贸易合同中，尽可能明确约定装卸两港的检验标准、检验方法及认可</w:t>
      </w:r>
      <w:r>
        <w:rPr>
          <w:rFonts w:hint="eastAsia" w:ascii="仿宋" w:hAnsi="仿宋" w:eastAsia="仿宋" w:cs="仿宋"/>
          <w:b w:val="0"/>
          <w:bCs w:val="0"/>
          <w:sz w:val="30"/>
          <w:szCs w:val="30"/>
          <w:lang w:val="en-US" w:eastAsia="zh-CN"/>
        </w:rPr>
        <w:t>的</w:t>
      </w:r>
      <w:r>
        <w:rPr>
          <w:rFonts w:hint="eastAsia" w:ascii="仿宋" w:hAnsi="仿宋" w:eastAsia="仿宋" w:cs="仿宋"/>
          <w:b w:val="0"/>
          <w:bCs w:val="0"/>
          <w:sz w:val="30"/>
          <w:szCs w:val="30"/>
        </w:rPr>
        <w:t>检验机构，减少争议。</w:t>
      </w:r>
    </w:p>
    <w:p w14:paraId="26CFAAF1">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对保险公司的启示：</w:t>
      </w:r>
    </w:p>
    <w:p w14:paraId="7CC7D86F">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理赔前的证据审查：在向被保险人支付赔款前，应严格审核其提供的索赔材料，特别是关于损失发生时间、地点、原因及损失大小的证据是否充分、有效，能否在后续追偿诉讼中经得起法庭质证。本案中，保险公司依据存在瑕疵的证据进行赔付，导致了追偿失败。</w:t>
      </w:r>
    </w:p>
    <w:p w14:paraId="1F533C0D">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强化追偿风险评估：行使代位求偿权时，应对案件证据进行法律评估，预判核心证据（如重量证书、货损报告）的证明力强弱及可能存在的漏洞，审慎决定是否起诉及诉讼策略。</w:t>
      </w:r>
    </w:p>
    <w:p w14:paraId="01A1930C">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区分“保险责任”与“承运人责任”：保险公司需清醒认识到，其依据保险合同条款（如不计免赔率、汇率约定）向货方赔付，不代表该赔付金额和理由能当然地在向承运人的追偿中被支持。追偿需基于运输合同关系及海商法规定，重新构建证据和逻辑。</w:t>
      </w:r>
    </w:p>
    <w:p w14:paraId="5288CE13">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对承运人的示范价值：</w:t>
      </w:r>
    </w:p>
    <w:p w14:paraId="0F2AEBC0">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完善航行记录与管货证据：本案中承运人提供了较为完整的船舶证书、货舱清洁记录、熏蒸证明、航海日志、通风记录等，以证明其已尽到适航、适货及妥善保管货物的义务，这在抗辩货损索赔时至关重要。</w:t>
      </w:r>
    </w:p>
    <w:p w14:paraId="706F7442">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利用权威机关结论进行抗辩：在货损争议中，应积极获取并提交海关、出入境检验检疫等主管机关的官方检验结论，其证明力往往高于商业检验报告。</w:t>
      </w:r>
    </w:p>
    <w:p w14:paraId="39E06619">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关注货物状态变化：如发现收货人在未解决争议前处理货物，应注意固定相关证据（如拍照、函件通知），作为反驳对方货损主张的依据。</w:t>
      </w:r>
    </w:p>
    <w:p w14:paraId="4FDEB3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26817C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 </w:t>
      </w:r>
    </w:p>
    <w:p w14:paraId="6DF837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682787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5810A5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1488E8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6BF2240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5B0B2B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0318F92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07E0439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2728BF3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7E809EC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38BAAC3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35B9A97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31AA5E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363B43C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3D3E20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5868374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710F7B8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62E1ED9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7E16DB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1AB0A6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594079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0F504E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2E6C9A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2850F37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1A3FE59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1B9F70B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p w14:paraId="764CC4B6">
      <w:pPr>
        <w:spacing w:after="160"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各类信息标签</w:t>
      </w:r>
    </w:p>
    <w:tbl>
      <w:tblPr>
        <w:tblStyle w:val="8"/>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7363"/>
      </w:tblGrid>
      <w:tr w14:paraId="2690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86" w:type="pct"/>
            <w:noWrap w:val="0"/>
            <w:vAlign w:val="center"/>
          </w:tcPr>
          <w:p w14:paraId="574EECC1">
            <w:pPr>
              <w:spacing w:line="360" w:lineRule="auto"/>
              <w:jc w:val="center"/>
              <w:rPr>
                <w:rFonts w:hint="eastAsia" w:ascii="华文仿宋" w:hAnsi="华文仿宋" w:eastAsia="华文仿宋"/>
                <w:szCs w:val="21"/>
                <w:lang w:val="en-US" w:eastAsia="zh-CN"/>
              </w:rPr>
            </w:pPr>
            <w:r>
              <w:rPr>
                <w:rFonts w:hint="eastAsia" w:ascii="华文仿宋" w:hAnsi="华文仿宋" w:eastAsia="华文仿宋"/>
                <w:szCs w:val="21"/>
                <w:lang w:val="en-US" w:eastAsia="zh-CN"/>
              </w:rPr>
              <w:t>主要服务国家或地区</w:t>
            </w:r>
          </w:p>
        </w:tc>
        <w:tc>
          <w:tcPr>
            <w:tcW w:w="4313" w:type="pct"/>
            <w:noWrap w:val="0"/>
            <w:vAlign w:val="center"/>
          </w:tcPr>
          <w:p w14:paraId="355D21F2">
            <w:pPr>
              <w:spacing w:line="360" w:lineRule="auto"/>
              <w:rPr>
                <w:rFonts w:hint="eastAsia" w:ascii="华文仿宋" w:hAnsi="华文仿宋" w:eastAsia="华文仿宋"/>
                <w:szCs w:val="21"/>
                <w:lang w:val="en-US" w:eastAsia="zh-CN"/>
              </w:rPr>
            </w:pPr>
            <w:r>
              <w:rPr>
                <w:rFonts w:hint="eastAsia" w:ascii="华文仿宋" w:hAnsi="华文仿宋" w:eastAsia="华文仿宋"/>
                <w:szCs w:val="21"/>
                <w:lang w:val="en-US" w:eastAsia="zh-CN"/>
              </w:rPr>
              <w:t>巴西</w:t>
            </w:r>
            <w:bookmarkStart w:id="0" w:name="_GoBack"/>
            <w:bookmarkEnd w:id="0"/>
          </w:p>
        </w:tc>
      </w:tr>
      <w:tr w14:paraId="32FE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35274D94">
            <w:pPr>
              <w:spacing w:before="156" w:beforeLines="50" w:after="156" w:afterLines="50" w:line="360" w:lineRule="exact"/>
              <w:jc w:val="center"/>
              <w:rPr>
                <w:rFonts w:hint="eastAsia" w:ascii="华文仿宋" w:hAnsi="华文仿宋" w:eastAsia="华文仿宋"/>
                <w:szCs w:val="21"/>
              </w:rPr>
            </w:pPr>
            <w:r>
              <w:rPr>
                <w:rFonts w:ascii="华文仿宋" w:hAnsi="华文仿宋" w:eastAsia="华文仿宋"/>
                <w:szCs w:val="21"/>
              </w:rPr>
              <w:t>产品</w:t>
            </w:r>
            <w:r>
              <w:rPr>
                <w:rFonts w:hint="eastAsia" w:ascii="华文仿宋" w:hAnsi="华文仿宋" w:eastAsia="华文仿宋"/>
                <w:szCs w:val="21"/>
                <w:lang w:val="en-US" w:eastAsia="zh-CN"/>
              </w:rPr>
              <w:t>专业</w:t>
            </w:r>
            <w:r>
              <w:rPr>
                <w:rFonts w:ascii="华文仿宋" w:hAnsi="华文仿宋" w:eastAsia="华文仿宋"/>
                <w:szCs w:val="21"/>
              </w:rPr>
              <w:t>类型</w:t>
            </w:r>
          </w:p>
        </w:tc>
        <w:tc>
          <w:tcPr>
            <w:tcW w:w="4313" w:type="pct"/>
            <w:noWrap w:val="0"/>
            <w:vAlign w:val="center"/>
          </w:tcPr>
          <w:p w14:paraId="3B80D08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□跨境诉讼</w:t>
            </w:r>
          </w:p>
          <w:p w14:paraId="2E39530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□国际商事调解和仲裁</w:t>
            </w:r>
          </w:p>
          <w:p w14:paraId="2061AC2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□跨境投资并购</w:t>
            </w:r>
          </w:p>
          <w:p w14:paraId="501A74D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□国际证券资本市场</w:t>
            </w:r>
          </w:p>
          <w:p w14:paraId="1E8843B7">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□国际贸易及海关</w:t>
            </w:r>
          </w:p>
          <w:p w14:paraId="560F092C">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□国际税法</w:t>
            </w:r>
          </w:p>
          <w:p w14:paraId="5E9BDDD2">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海事海商、航运金融</w:t>
            </w:r>
          </w:p>
          <w:p w14:paraId="12330B96">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□国际工程</w:t>
            </w:r>
          </w:p>
          <w:p w14:paraId="5612F81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□国际房地产开发</w:t>
            </w:r>
          </w:p>
          <w:p w14:paraId="25005FA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□国际知识产权</w:t>
            </w:r>
          </w:p>
          <w:p w14:paraId="4B21542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□国际金融、保险业务</w:t>
            </w:r>
          </w:p>
          <w:p w14:paraId="58E6C0D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□跨境数据合规业务</w:t>
            </w:r>
          </w:p>
          <w:p w14:paraId="0748AE1F">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□国际矿业、能源业务</w:t>
            </w:r>
          </w:p>
          <w:p w14:paraId="2796C15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□国际ESG法律服务</w:t>
            </w:r>
          </w:p>
          <w:p w14:paraId="75EF11D0">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□国际劳动用工</w:t>
            </w:r>
          </w:p>
          <w:p w14:paraId="1254BB0B">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□反倾销和反补贴、WTO业务</w:t>
            </w:r>
          </w:p>
          <w:p w14:paraId="35D8461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□反垄断、反不正当竞争</w:t>
            </w:r>
          </w:p>
          <w:p w14:paraId="5CFB1CC0">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进出口管制和经济制裁</w:t>
            </w:r>
          </w:p>
          <w:p w14:paraId="2D794185">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□国家安全审查与地缘政治风险应对</w:t>
            </w:r>
          </w:p>
          <w:p w14:paraId="33EFFF25">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□反腐败</w:t>
            </w:r>
          </w:p>
          <w:p w14:paraId="45E1BA9F">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□反洗钱、反恐怖主义融资</w:t>
            </w:r>
          </w:p>
          <w:p w14:paraId="4E7D40AD">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□跨境破产与债务重组</w:t>
            </w:r>
          </w:p>
          <w:p w14:paraId="139CE01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□跨境家族信托与财富传承</w:t>
            </w:r>
          </w:p>
        </w:tc>
      </w:tr>
      <w:tr w14:paraId="6C3D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6563AB22">
            <w:pPr>
              <w:spacing w:before="156" w:beforeLines="50" w:after="156" w:afterLines="50" w:line="360" w:lineRule="exact"/>
              <w:jc w:val="center"/>
              <w:rPr>
                <w:rFonts w:ascii="华文仿宋" w:hAnsi="华文仿宋" w:eastAsia="华文仿宋"/>
                <w:szCs w:val="21"/>
              </w:rPr>
            </w:pPr>
            <w:r>
              <w:rPr>
                <w:rFonts w:ascii="华文仿宋" w:hAnsi="华文仿宋" w:eastAsia="华文仿宋"/>
                <w:szCs w:val="21"/>
              </w:rPr>
              <w:t>产品</w:t>
            </w:r>
            <w:r>
              <w:rPr>
                <w:rFonts w:hint="eastAsia" w:ascii="华文仿宋" w:hAnsi="华文仿宋" w:eastAsia="华文仿宋"/>
                <w:szCs w:val="21"/>
                <w:lang w:val="en-US" w:eastAsia="zh-CN"/>
              </w:rPr>
              <w:t>对应行业</w:t>
            </w:r>
          </w:p>
        </w:tc>
        <w:tc>
          <w:tcPr>
            <w:tcW w:w="4313" w:type="pct"/>
            <w:noWrap w:val="0"/>
            <w:vAlign w:val="center"/>
          </w:tcPr>
          <w:p w14:paraId="660795D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农林牧渔业</w:t>
            </w:r>
          </w:p>
          <w:p w14:paraId="58E29E8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□采矿业</w:t>
            </w:r>
          </w:p>
          <w:p w14:paraId="7F39AE79">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□制造业</w:t>
            </w:r>
          </w:p>
          <w:p w14:paraId="16BD7EA8">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□建筑业</w:t>
            </w:r>
          </w:p>
          <w:p w14:paraId="4E68556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□批发零售业</w:t>
            </w:r>
          </w:p>
          <w:p w14:paraId="6721A094">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交通运输、仓储和物流服务业</w:t>
            </w:r>
          </w:p>
          <w:p w14:paraId="1130BCA0">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□住宿和餐饮业</w:t>
            </w:r>
          </w:p>
          <w:p w14:paraId="1519BB8E">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□信息传输、软件和信息技术服务业</w:t>
            </w:r>
          </w:p>
          <w:p w14:paraId="3278C13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□金融业（含资本市场服务）</w:t>
            </w:r>
          </w:p>
          <w:p w14:paraId="66DC47B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□房地产业</w:t>
            </w:r>
          </w:p>
          <w:p w14:paraId="669363C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□租赁和商务服务业</w:t>
            </w:r>
          </w:p>
          <w:p w14:paraId="62C91A2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□科学研究和技术服务业</w:t>
            </w:r>
          </w:p>
          <w:p w14:paraId="4AB1E3C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□节能环保清洁产业（含清洁生产、清洁能源）</w:t>
            </w:r>
          </w:p>
          <w:p w14:paraId="71C72CE5">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□医疗卫生与健康服务</w:t>
            </w:r>
          </w:p>
          <w:p w14:paraId="645704CB">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□文化、体育和娱乐业</w:t>
            </w:r>
          </w:p>
          <w:p w14:paraId="0FB00E6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□教育培训</w:t>
            </w:r>
          </w:p>
          <w:p w14:paraId="686789F7">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□集成电路</w:t>
            </w:r>
          </w:p>
          <w:p w14:paraId="1A00673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□生物医药（创新药物、高端医疗器械、生物技术服务等）</w:t>
            </w:r>
          </w:p>
          <w:p w14:paraId="1C4D339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□人工智能（智能芯片、智能软件、自动驾驶、具身智能等）</w:t>
            </w:r>
          </w:p>
          <w:p w14:paraId="5D5797F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电子信息</w:t>
            </w:r>
          </w:p>
          <w:p w14:paraId="4F82774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生命健康</w:t>
            </w:r>
          </w:p>
          <w:p w14:paraId="610E66C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汽车</w:t>
            </w:r>
          </w:p>
          <w:p w14:paraId="44CBE36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高端装备</w:t>
            </w:r>
          </w:p>
          <w:p w14:paraId="0F651B84">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先进材料</w:t>
            </w:r>
          </w:p>
          <w:p w14:paraId="58F0D100">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□时尚消费品</w:t>
            </w:r>
          </w:p>
          <w:p w14:paraId="47A3EE8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□低空经济</w:t>
            </w:r>
          </w:p>
          <w:p w14:paraId="23B0EAE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□未来产业（光子芯片与器件、基因与细胞技术、类脑智能、新型海洋经济、氢能与储能等）</w:t>
            </w:r>
          </w:p>
          <w:p w14:paraId="70FDF7F5">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□游戏和电竞</w:t>
            </w:r>
          </w:p>
        </w:tc>
      </w:tr>
    </w:tbl>
    <w:p w14:paraId="4DF169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C9A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79F5E">
                          <w:pPr>
                            <w:pStyle w:val="4"/>
                          </w:pPr>
                          <w: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A79F5E">
                    <w:pPr>
                      <w:pStyle w:val="4"/>
                    </w:pPr>
                    <w: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93830"/>
    <w:multiLevelType w:val="singleLevel"/>
    <w:tmpl w:val="17A9383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D40EF"/>
    <w:rsid w:val="03E97062"/>
    <w:rsid w:val="06952D48"/>
    <w:rsid w:val="09C851E3"/>
    <w:rsid w:val="0C4A6383"/>
    <w:rsid w:val="4FF5558B"/>
    <w:rsid w:val="678D40EF"/>
    <w:rsid w:val="6B86583E"/>
    <w:rsid w:val="7F2F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2621</Words>
  <Characters>2670</Characters>
  <Lines>0</Lines>
  <Paragraphs>0</Paragraphs>
  <TotalTime>0</TotalTime>
  <ScaleCrop>false</ScaleCrop>
  <LinksUpToDate>false</LinksUpToDate>
  <CharactersWithSpaces>2682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2026-05-06T09:49:00Z</dcterms:created>
  <dc:creator>z</dc:creator>
  <cp:lastModifiedBy>z</cp:lastModifiedBy>
  <dcterms:modified xsi:type="dcterms:W3CDTF">2026-05-29T02:39:17Z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99156A0A7021487891849F6AF0D32901_11</vt:lpwstr>
  </property>
  <property fmtid="{D5CDD505-2E9C-101B-9397-08002B2CF9AE}" pid="4" name="KSOTemplateDocerSaveRecord">
    <vt:lpwstr>eyJoZGlkIjoiMzEwNTM5NzYwMDRjMzkwZTVkZjY2ODkwMGIxNGU0OTUiLCJ1c2VySWQiOiIzMDQ5NDk2NzYifQ==</vt:lpwstr>
  </property>
  <property fmtid="{D5CDD505-2E9C-101B-9397-08002B2CF9AE}" pid="5" name="CWMf53540c0810a11f1800041aa000041aa">
    <vt:lpwstr>CWMm/cst3QJNVaVwwNRpNCn/0vSSogLWPyZ3PcbVeENAJCSj88gEFsEk4cTNrGDe+sK40nduNLtA1KFglB+jQPn6A==</vt:lpwstr>
  </property>
  <property fmtid="{D5CDD505-2E9C-101B-9397-08002B2CF9AE}" pid="6" name="fileWhereFroms">
    <vt:lpwstr>PpjeLB1gRN0lwrPqMaCTkrwNSOYwwMptX1atEUZ/mPuZkJvUKbOn5wEK7u6LzonF08gdphIo0ygNyViV5C0LTlNzRxPAMG5xPZu7uC7bv0uL1Kex5PfDuKQOg5o6epURLaTi0LjsmSIJaFWi9SmBj4BXPt/KUhOY4m5mv1+wFS/WQT5dAwbNsvvFcRmZ1+E9bxVCuTHedtfAlWHpHh6zsU/7YyfdpTFxzKfC6fats9RhmuYDr5NH8EL5iEjk0A8DdeNKsIMgyuefMBeA+jyqHg==</vt:lpwstr>
  </property>
</Properties>
</file>