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5F135" w14:textId="42E4CFBF" w:rsidR="00420924" w:rsidRPr="00420924" w:rsidRDefault="00420924" w:rsidP="00420924">
      <w:pPr>
        <w:ind w:firstLineChars="200" w:firstLine="562"/>
        <w:jc w:val="center"/>
        <w:rPr>
          <w:rFonts w:ascii="仿宋" w:eastAsia="仿宋" w:hAnsi="仿宋"/>
          <w:b/>
          <w:bCs/>
          <w:sz w:val="28"/>
          <w:szCs w:val="28"/>
        </w:rPr>
      </w:pPr>
      <w:r w:rsidRPr="00420924">
        <w:rPr>
          <w:rFonts w:ascii="仿宋" w:eastAsia="仿宋" w:hAnsi="仿宋" w:hint="eastAsia"/>
          <w:b/>
          <w:bCs/>
          <w:sz w:val="28"/>
          <w:szCs w:val="28"/>
        </w:rPr>
        <w:t>专业指引</w:t>
      </w:r>
    </w:p>
    <w:p w14:paraId="0A2BB301" w14:textId="1DE80A0A" w:rsidR="00420924" w:rsidRPr="00420924" w:rsidRDefault="00420924" w:rsidP="00420924">
      <w:pPr>
        <w:ind w:firstLineChars="200" w:firstLine="562"/>
        <w:jc w:val="center"/>
        <w:rPr>
          <w:rFonts w:ascii="仿宋" w:eastAsia="仿宋" w:hAnsi="仿宋"/>
          <w:b/>
          <w:bCs/>
          <w:sz w:val="28"/>
          <w:szCs w:val="28"/>
        </w:rPr>
      </w:pPr>
      <w:r w:rsidRPr="00420924">
        <w:rPr>
          <w:rFonts w:ascii="仿宋" w:eastAsia="仿宋" w:hAnsi="仿宋"/>
          <w:b/>
          <w:bCs/>
          <w:sz w:val="28"/>
          <w:szCs w:val="28"/>
        </w:rPr>
        <w:t>RWA投资指南：中国内地居民的机遇、税务风险与退出路径</w:t>
      </w:r>
    </w:p>
    <w:p w14:paraId="64BC3F33" w14:textId="617D9C0C" w:rsidR="00420924" w:rsidRPr="00420924" w:rsidRDefault="00420924" w:rsidP="00420924">
      <w:pPr>
        <w:ind w:firstLineChars="200" w:firstLine="480"/>
        <w:rPr>
          <w:rFonts w:ascii="仿宋" w:eastAsia="仿宋" w:hAnsi="仿宋"/>
          <w:sz w:val="24"/>
          <w:szCs w:val="24"/>
        </w:rPr>
      </w:pPr>
    </w:p>
    <w:p w14:paraId="5CAAEFFA" w14:textId="6734945C" w:rsidR="00420924" w:rsidRPr="00420924" w:rsidRDefault="00420924" w:rsidP="00420924">
      <w:pPr>
        <w:ind w:firstLineChars="200" w:firstLine="480"/>
        <w:jc w:val="center"/>
        <w:rPr>
          <w:rFonts w:ascii="仿宋" w:eastAsia="仿宋" w:hAnsi="仿宋" w:hint="eastAsia"/>
          <w:sz w:val="24"/>
          <w:szCs w:val="24"/>
        </w:rPr>
      </w:pPr>
      <w:r w:rsidRPr="00420924">
        <w:rPr>
          <w:rFonts w:ascii="仿宋" w:eastAsia="仿宋" w:hAnsi="仿宋" w:hint="eastAsia"/>
          <w:sz w:val="24"/>
          <w:szCs w:val="24"/>
        </w:rPr>
        <w:t>作者单位：上海锦天城律师事务所</w:t>
      </w:r>
    </w:p>
    <w:p w14:paraId="0F1B7D77" w14:textId="6E054AAA" w:rsidR="00420924" w:rsidRPr="00420924" w:rsidRDefault="00420924" w:rsidP="00420924">
      <w:pPr>
        <w:ind w:firstLineChars="200" w:firstLine="480"/>
        <w:jc w:val="center"/>
        <w:rPr>
          <w:rFonts w:ascii="仿宋" w:eastAsia="仿宋" w:hAnsi="仿宋"/>
          <w:sz w:val="24"/>
          <w:szCs w:val="24"/>
        </w:rPr>
      </w:pPr>
      <w:r w:rsidRPr="00420924">
        <w:rPr>
          <w:rFonts w:ascii="仿宋" w:eastAsia="仿宋" w:hAnsi="仿宋"/>
          <w:sz w:val="24"/>
          <w:szCs w:val="24"/>
        </w:rPr>
        <w:t>作者：全开明 洪一帆 袁苇 谢美山</w:t>
      </w:r>
      <w:r w:rsidRPr="00420924">
        <w:rPr>
          <w:rFonts w:ascii="仿宋" w:eastAsia="仿宋" w:hAnsi="仿宋"/>
          <w:sz w:val="24"/>
          <w:szCs w:val="24"/>
        </w:rPr>
        <w:br/>
      </w:r>
    </w:p>
    <w:p w14:paraId="6664D469" w14:textId="2EA595A2" w:rsidR="00420924" w:rsidRPr="00420924" w:rsidRDefault="00420924" w:rsidP="00420924">
      <w:pPr>
        <w:ind w:firstLineChars="200" w:firstLine="482"/>
        <w:rPr>
          <w:rFonts w:ascii="仿宋" w:eastAsia="仿宋" w:hAnsi="仿宋" w:hint="eastAsia"/>
          <w:sz w:val="24"/>
          <w:szCs w:val="24"/>
        </w:rPr>
      </w:pPr>
      <w:r w:rsidRPr="00420924">
        <w:rPr>
          <w:rFonts w:ascii="仿宋" w:eastAsia="仿宋" w:hAnsi="仿宋"/>
          <w:b/>
          <w:bCs/>
          <w:sz w:val="24"/>
          <w:szCs w:val="24"/>
        </w:rPr>
        <w:t>【摘要】</w:t>
      </w:r>
      <w:r w:rsidRPr="00420924">
        <w:rPr>
          <w:rFonts w:ascii="仿宋" w:eastAsia="仿宋" w:hAnsi="仿宋"/>
          <w:sz w:val="24"/>
          <w:szCs w:val="24"/>
        </w:rPr>
        <w:t>区块链技术等新兴科技的迅猛发展为现实世界资产代币化（Real-World Assets，RWA）提供了契机，同时亦为全球投资者开辟了具有突破性意义的资产配置路径。RWA将房地产、债券、大宗商品等传统资产转化为链上数字凭证，极大提高了资产的流动性，降低了投资门槛，并为投资者分散投资风险，增加收益稳定性。然而，对于中国内地居民而言，参与RWA投资需面对复杂的法律合</w:t>
      </w:r>
      <w:proofErr w:type="gramStart"/>
      <w:r w:rsidRPr="00420924">
        <w:rPr>
          <w:rFonts w:ascii="仿宋" w:eastAsia="仿宋" w:hAnsi="仿宋"/>
          <w:sz w:val="24"/>
          <w:szCs w:val="24"/>
        </w:rPr>
        <w:t>规</w:t>
      </w:r>
      <w:proofErr w:type="gramEnd"/>
      <w:r w:rsidRPr="00420924">
        <w:rPr>
          <w:rFonts w:ascii="仿宋" w:eastAsia="仿宋" w:hAnsi="仿宋"/>
          <w:sz w:val="24"/>
          <w:szCs w:val="24"/>
        </w:rPr>
        <w:t>性、跨境税务风险及退出路径等挑战。本文通过抛出“RWA为什么火了”的问题，系统梳理其背景、概念等基础性理论，进而深入分析内地居民通过金融合</w:t>
      </w:r>
      <w:proofErr w:type="gramStart"/>
      <w:r w:rsidRPr="00420924">
        <w:rPr>
          <w:rFonts w:ascii="仿宋" w:eastAsia="仿宋" w:hAnsi="仿宋"/>
          <w:sz w:val="24"/>
          <w:szCs w:val="24"/>
        </w:rPr>
        <w:t>规</w:t>
      </w:r>
      <w:proofErr w:type="gramEnd"/>
      <w:r w:rsidRPr="00420924">
        <w:rPr>
          <w:rFonts w:ascii="仿宋" w:eastAsia="仿宋" w:hAnsi="仿宋"/>
          <w:sz w:val="24"/>
          <w:szCs w:val="24"/>
        </w:rPr>
        <w:t>机构或跨境平台参与RWA投资的可行路径以及税收风险，深入剖析RWA投资涉及的税务风险，并提出合理的退出策略与风险防范建议。</w:t>
      </w:r>
    </w:p>
    <w:p w14:paraId="4535A393" w14:textId="77777777" w:rsidR="00420924" w:rsidRPr="00420924" w:rsidRDefault="00420924" w:rsidP="00420924">
      <w:pPr>
        <w:ind w:firstLineChars="200" w:firstLine="482"/>
        <w:rPr>
          <w:rFonts w:ascii="仿宋" w:eastAsia="仿宋" w:hAnsi="仿宋"/>
          <w:sz w:val="24"/>
          <w:szCs w:val="24"/>
        </w:rPr>
      </w:pPr>
      <w:r w:rsidRPr="00420924">
        <w:rPr>
          <w:rFonts w:ascii="仿宋" w:eastAsia="仿宋" w:hAnsi="仿宋"/>
          <w:b/>
          <w:bCs/>
          <w:sz w:val="24"/>
          <w:szCs w:val="24"/>
        </w:rPr>
        <w:t xml:space="preserve">【关键词】资产代币化 </w:t>
      </w:r>
      <w:r w:rsidRPr="00420924">
        <w:rPr>
          <w:rFonts w:ascii="Calibri" w:eastAsia="仿宋" w:hAnsi="Calibri" w:cs="Calibri"/>
          <w:b/>
          <w:bCs/>
          <w:sz w:val="24"/>
          <w:szCs w:val="24"/>
        </w:rPr>
        <w:t> </w:t>
      </w:r>
      <w:r w:rsidRPr="00420924">
        <w:rPr>
          <w:rFonts w:ascii="仿宋" w:eastAsia="仿宋" w:hAnsi="仿宋"/>
          <w:b/>
          <w:bCs/>
          <w:sz w:val="24"/>
          <w:szCs w:val="24"/>
        </w:rPr>
        <w:t>RWA</w:t>
      </w:r>
      <w:r w:rsidRPr="00420924">
        <w:rPr>
          <w:rFonts w:ascii="Calibri" w:eastAsia="仿宋" w:hAnsi="Calibri" w:cs="Calibri"/>
          <w:b/>
          <w:bCs/>
          <w:sz w:val="24"/>
          <w:szCs w:val="24"/>
        </w:rPr>
        <w:t>  </w:t>
      </w:r>
      <w:r w:rsidRPr="00420924">
        <w:rPr>
          <w:rFonts w:ascii="仿宋" w:eastAsia="仿宋" w:hAnsi="仿宋"/>
          <w:b/>
          <w:bCs/>
          <w:sz w:val="24"/>
          <w:szCs w:val="24"/>
        </w:rPr>
        <w:t xml:space="preserve">税务风险 </w:t>
      </w:r>
      <w:r w:rsidRPr="00420924">
        <w:rPr>
          <w:rFonts w:ascii="Calibri" w:eastAsia="仿宋" w:hAnsi="Calibri" w:cs="Calibri"/>
          <w:b/>
          <w:bCs/>
          <w:sz w:val="24"/>
          <w:szCs w:val="24"/>
        </w:rPr>
        <w:t> </w:t>
      </w:r>
      <w:r w:rsidRPr="00420924">
        <w:rPr>
          <w:rFonts w:ascii="仿宋" w:eastAsia="仿宋" w:hAnsi="仿宋"/>
          <w:b/>
          <w:bCs/>
          <w:sz w:val="24"/>
          <w:szCs w:val="24"/>
        </w:rPr>
        <w:t>区块链技术 居民投资</w:t>
      </w:r>
    </w:p>
    <w:p w14:paraId="35D119AA" w14:textId="216A41EB" w:rsidR="00420924" w:rsidRPr="00420924" w:rsidRDefault="00420924" w:rsidP="00420924">
      <w:pPr>
        <w:ind w:firstLineChars="200" w:firstLine="480"/>
        <w:rPr>
          <w:rFonts w:ascii="仿宋" w:eastAsia="仿宋" w:hAnsi="仿宋"/>
          <w:sz w:val="24"/>
          <w:szCs w:val="24"/>
        </w:rPr>
      </w:pPr>
    </w:p>
    <w:p w14:paraId="31D271BD" w14:textId="77777777" w:rsidR="00420924" w:rsidRPr="00420924" w:rsidRDefault="00420924" w:rsidP="00420924">
      <w:pPr>
        <w:ind w:firstLineChars="200" w:firstLine="482"/>
        <w:rPr>
          <w:rFonts w:ascii="仿宋" w:eastAsia="仿宋" w:hAnsi="仿宋"/>
          <w:sz w:val="24"/>
          <w:szCs w:val="24"/>
        </w:rPr>
      </w:pPr>
      <w:r w:rsidRPr="00420924">
        <w:rPr>
          <w:rFonts w:ascii="仿宋" w:eastAsia="仿宋" w:hAnsi="仿宋"/>
          <w:b/>
          <w:bCs/>
          <w:sz w:val="24"/>
          <w:szCs w:val="24"/>
        </w:rPr>
        <w:t>一、引言：RWA为什么火了？</w:t>
      </w:r>
    </w:p>
    <w:p w14:paraId="5FF718A9" w14:textId="7B5ABCAA" w:rsidR="00420924" w:rsidRPr="00420924" w:rsidRDefault="00420924" w:rsidP="00420924">
      <w:pPr>
        <w:rPr>
          <w:rFonts w:ascii="仿宋" w:eastAsia="仿宋" w:hAnsi="仿宋" w:hint="eastAsia"/>
          <w:sz w:val="24"/>
          <w:szCs w:val="24"/>
        </w:rPr>
      </w:pPr>
    </w:p>
    <w:p w14:paraId="257A0767" w14:textId="77777777" w:rsidR="00420924" w:rsidRPr="00420924" w:rsidRDefault="00420924" w:rsidP="00420924">
      <w:pPr>
        <w:ind w:firstLineChars="200" w:firstLine="482"/>
        <w:rPr>
          <w:rFonts w:ascii="仿宋" w:eastAsia="仿宋" w:hAnsi="仿宋"/>
          <w:sz w:val="24"/>
          <w:szCs w:val="24"/>
        </w:rPr>
      </w:pPr>
      <w:r w:rsidRPr="00420924">
        <w:rPr>
          <w:rFonts w:ascii="仿宋" w:eastAsia="仿宋" w:hAnsi="仿宋"/>
          <w:b/>
          <w:bCs/>
          <w:sz w:val="24"/>
          <w:szCs w:val="24"/>
        </w:rPr>
        <w:t>（一）RWA的概念</w:t>
      </w:r>
    </w:p>
    <w:p w14:paraId="557AC57F" w14:textId="6304AD4F" w:rsidR="00420924" w:rsidRPr="00420924" w:rsidRDefault="00420924" w:rsidP="00420924">
      <w:pPr>
        <w:ind w:firstLineChars="200" w:firstLine="480"/>
        <w:rPr>
          <w:rFonts w:ascii="仿宋" w:eastAsia="仿宋" w:hAnsi="仿宋"/>
          <w:sz w:val="24"/>
          <w:szCs w:val="24"/>
        </w:rPr>
      </w:pPr>
    </w:p>
    <w:p w14:paraId="61F77320" w14:textId="77777777" w:rsidR="00420924" w:rsidRPr="00420924" w:rsidRDefault="00420924" w:rsidP="00420924">
      <w:pPr>
        <w:ind w:firstLineChars="200" w:firstLine="480"/>
        <w:rPr>
          <w:rFonts w:ascii="仿宋" w:eastAsia="仿宋" w:hAnsi="仿宋"/>
          <w:sz w:val="24"/>
          <w:szCs w:val="24"/>
        </w:rPr>
      </w:pPr>
      <w:r w:rsidRPr="00420924">
        <w:rPr>
          <w:rFonts w:ascii="仿宋" w:eastAsia="仿宋" w:hAnsi="仿宋"/>
          <w:sz w:val="24"/>
          <w:szCs w:val="24"/>
        </w:rPr>
        <w:t>RWA（Real World Assets），即“现实世界资产”。RWA指的是通过代币化（Tokenization）技术，将传统金融领域或物理世界中的各类资产通过区块链技术进行代币化，形成可编程、可交易、可分割的数字资产。RWA可转化的资产范围非常广泛，涵盖房地产、股票、债券、黄金、大宗商品、艺术品甚至是知识产权等多个领域。在传统金融交易领域，存在一系列阻碍市场参与率提高的问题，如交易流程繁琐、资产价值透明度有限、流动性不足等，而RWA的出现为这些资产带来了全新的发展机遇。</w:t>
      </w:r>
    </w:p>
    <w:p w14:paraId="6D08723B" w14:textId="45798ABD" w:rsidR="00420924" w:rsidRPr="00420924" w:rsidRDefault="00420924" w:rsidP="00420924">
      <w:pPr>
        <w:ind w:firstLineChars="200" w:firstLine="480"/>
        <w:rPr>
          <w:rFonts w:ascii="仿宋" w:eastAsia="仿宋" w:hAnsi="仿宋"/>
          <w:sz w:val="24"/>
          <w:szCs w:val="24"/>
        </w:rPr>
      </w:pPr>
    </w:p>
    <w:p w14:paraId="781338F1" w14:textId="77777777" w:rsidR="00420924" w:rsidRPr="00420924" w:rsidRDefault="00420924" w:rsidP="00420924">
      <w:pPr>
        <w:ind w:firstLineChars="200" w:firstLine="482"/>
        <w:rPr>
          <w:rFonts w:ascii="仿宋" w:eastAsia="仿宋" w:hAnsi="仿宋"/>
          <w:sz w:val="24"/>
          <w:szCs w:val="24"/>
        </w:rPr>
      </w:pPr>
      <w:r w:rsidRPr="00420924">
        <w:rPr>
          <w:rFonts w:ascii="仿宋" w:eastAsia="仿宋" w:hAnsi="仿宋"/>
          <w:b/>
          <w:bCs/>
          <w:sz w:val="24"/>
          <w:szCs w:val="24"/>
        </w:rPr>
        <w:t>（二）RWA的背景</w:t>
      </w:r>
    </w:p>
    <w:p w14:paraId="147C6AF7" w14:textId="62CC42BC" w:rsidR="00420924" w:rsidRPr="00420924" w:rsidRDefault="00420924" w:rsidP="00420924">
      <w:pPr>
        <w:ind w:firstLineChars="200" w:firstLine="480"/>
        <w:rPr>
          <w:rFonts w:ascii="仿宋" w:eastAsia="仿宋" w:hAnsi="仿宋"/>
          <w:sz w:val="24"/>
          <w:szCs w:val="24"/>
        </w:rPr>
      </w:pPr>
    </w:p>
    <w:p w14:paraId="66E2CE06" w14:textId="2E83BE8B" w:rsidR="00420924" w:rsidRPr="00420924" w:rsidRDefault="00420924" w:rsidP="00420924">
      <w:pPr>
        <w:ind w:firstLineChars="200" w:firstLine="480"/>
        <w:rPr>
          <w:rFonts w:ascii="仿宋" w:eastAsia="仿宋" w:hAnsi="仿宋" w:hint="eastAsia"/>
          <w:sz w:val="24"/>
          <w:szCs w:val="24"/>
        </w:rPr>
      </w:pPr>
      <w:proofErr w:type="spellStart"/>
      <w:r w:rsidRPr="00420924">
        <w:rPr>
          <w:rFonts w:ascii="仿宋" w:eastAsia="仿宋" w:hAnsi="仿宋"/>
          <w:sz w:val="24"/>
          <w:szCs w:val="24"/>
        </w:rPr>
        <w:t>ZIGChain</w:t>
      </w:r>
      <w:proofErr w:type="spellEnd"/>
      <w:r w:rsidRPr="00420924">
        <w:rPr>
          <w:rFonts w:ascii="仿宋" w:eastAsia="仿宋" w:hAnsi="仿宋"/>
          <w:sz w:val="24"/>
          <w:szCs w:val="24"/>
        </w:rPr>
        <w:t>联合创始人Abdul Rafay Gadit发表的观点声称，在全球金融市场面临前所未有的挑战之际，现实世界资产代币</w:t>
      </w:r>
      <w:proofErr w:type="gramStart"/>
      <w:r w:rsidRPr="00420924">
        <w:rPr>
          <w:rFonts w:ascii="仿宋" w:eastAsia="仿宋" w:hAnsi="仿宋"/>
          <w:sz w:val="24"/>
          <w:szCs w:val="24"/>
        </w:rPr>
        <w:t>化可能</w:t>
      </w:r>
      <w:proofErr w:type="gramEnd"/>
      <w:r w:rsidRPr="00420924">
        <w:rPr>
          <w:rFonts w:ascii="仿宋" w:eastAsia="仿宋" w:hAnsi="仿宋"/>
          <w:sz w:val="24"/>
          <w:szCs w:val="24"/>
        </w:rPr>
        <w:t>构成一条生命线，具有可预测的收益和增强的市场流动性。越来越多的华尔街人士认为，如果没有RWA，传统金融市场可能将面临无法生存的困境。</w:t>
      </w:r>
    </w:p>
    <w:p w14:paraId="26069D10" w14:textId="77777777" w:rsidR="00420924" w:rsidRPr="00420924" w:rsidRDefault="00420924" w:rsidP="00420924">
      <w:pPr>
        <w:ind w:firstLineChars="200" w:firstLine="480"/>
        <w:rPr>
          <w:rFonts w:ascii="仿宋" w:eastAsia="仿宋" w:hAnsi="仿宋"/>
          <w:sz w:val="24"/>
          <w:szCs w:val="24"/>
        </w:rPr>
      </w:pPr>
      <w:r w:rsidRPr="00420924">
        <w:rPr>
          <w:rFonts w:ascii="仿宋" w:eastAsia="仿宋" w:hAnsi="仿宋"/>
          <w:sz w:val="24"/>
          <w:szCs w:val="24"/>
        </w:rPr>
        <w:t>为何RWA受到的关注越来越多？其原因在于，随着全球贸易战愈演愈烈，美国的关税政策以及海湖庄园协议的连锁反应，使得传统资产稳定性日益下降。隐藏在现有状况表面之下的是流动性不足、透明度低、难以扩展的巨大泡沫。传统金融中介机构的臃肿和低效率，限制了资本的灵活性与效率。麦肯锡的报告指出，私</w:t>
      </w:r>
      <w:proofErr w:type="gramStart"/>
      <w:r w:rsidRPr="00420924">
        <w:rPr>
          <w:rFonts w:ascii="仿宋" w:eastAsia="仿宋" w:hAnsi="仿宋"/>
          <w:sz w:val="24"/>
          <w:szCs w:val="24"/>
        </w:rPr>
        <w:t>募股权</w:t>
      </w:r>
      <w:proofErr w:type="gramEnd"/>
      <w:r w:rsidRPr="00420924">
        <w:rPr>
          <w:rFonts w:ascii="仿宋" w:eastAsia="仿宋" w:hAnsi="仿宋"/>
          <w:sz w:val="24"/>
          <w:szCs w:val="24"/>
        </w:rPr>
        <w:t>融资在2024年预计下降24%，而美国首次公开募股（IPO）在过去几年已经骤降8.5%。市场正在萎缩，泡沫即将破裂。然后，RWA正逐渐成为金融市场的新希望。华尔街的主要参与者，包括摩根大通、贝莱德、瑞银、高盛等，都已</w:t>
      </w:r>
      <w:r w:rsidRPr="00420924">
        <w:rPr>
          <w:rFonts w:ascii="仿宋" w:eastAsia="仿宋" w:hAnsi="仿宋"/>
          <w:sz w:val="24"/>
          <w:szCs w:val="24"/>
        </w:rPr>
        <w:lastRenderedPageBreak/>
        <w:t>开始积极布局 RWA。去年，借贷代币化增长了40%，而美债代币化更是飙升179%。Franklin Templeton、贝莱德旗下的FOBXX、BUIDL基金都显示出机构资本正在加速进入RWA市场。他们通过代币化简化了流动性获取，缩短结算周期，开拓全新的收益空间。根据普华永道的预测，RWA将创造高达1.5</w:t>
      </w:r>
      <w:proofErr w:type="gramStart"/>
      <w:r w:rsidRPr="00420924">
        <w:rPr>
          <w:rFonts w:ascii="仿宋" w:eastAsia="仿宋" w:hAnsi="仿宋"/>
          <w:sz w:val="24"/>
          <w:szCs w:val="24"/>
        </w:rPr>
        <w:t>万亿</w:t>
      </w:r>
      <w:proofErr w:type="gramEnd"/>
      <w:r w:rsidRPr="00420924">
        <w:rPr>
          <w:rFonts w:ascii="仿宋" w:eastAsia="仿宋" w:hAnsi="仿宋"/>
          <w:sz w:val="24"/>
          <w:szCs w:val="24"/>
        </w:rPr>
        <w:t>美元的市场新机遇，</w:t>
      </w:r>
      <w:proofErr w:type="gramStart"/>
      <w:r w:rsidRPr="00420924">
        <w:rPr>
          <w:rFonts w:ascii="仿宋" w:eastAsia="仿宋" w:hAnsi="仿宋"/>
          <w:sz w:val="24"/>
          <w:szCs w:val="24"/>
        </w:rPr>
        <w:t>标普全球也</w:t>
      </w:r>
      <w:proofErr w:type="gramEnd"/>
      <w:r w:rsidRPr="00420924">
        <w:rPr>
          <w:rFonts w:ascii="仿宋" w:eastAsia="仿宋" w:hAnsi="仿宋"/>
          <w:sz w:val="24"/>
          <w:szCs w:val="24"/>
        </w:rPr>
        <w:t>将RWA视为金融市场“新数字前沿”，是解决传统金融痛点的核心方案。</w:t>
      </w:r>
    </w:p>
    <w:p w14:paraId="66C44354" w14:textId="0F319445" w:rsidR="00420924" w:rsidRPr="00420924" w:rsidRDefault="00420924" w:rsidP="00420924">
      <w:pPr>
        <w:ind w:firstLineChars="200" w:firstLine="480"/>
        <w:rPr>
          <w:rFonts w:ascii="仿宋" w:eastAsia="仿宋" w:hAnsi="仿宋"/>
          <w:sz w:val="24"/>
          <w:szCs w:val="24"/>
        </w:rPr>
      </w:pPr>
    </w:p>
    <w:p w14:paraId="1257E986" w14:textId="77777777" w:rsidR="00420924" w:rsidRPr="00420924" w:rsidRDefault="00420924" w:rsidP="00420924">
      <w:pPr>
        <w:ind w:firstLineChars="200" w:firstLine="482"/>
        <w:rPr>
          <w:rFonts w:ascii="仿宋" w:eastAsia="仿宋" w:hAnsi="仿宋"/>
          <w:sz w:val="24"/>
          <w:szCs w:val="24"/>
        </w:rPr>
      </w:pPr>
      <w:r w:rsidRPr="00420924">
        <w:rPr>
          <w:rFonts w:ascii="仿宋" w:eastAsia="仿宋" w:hAnsi="仿宋"/>
          <w:b/>
          <w:bCs/>
          <w:sz w:val="24"/>
          <w:szCs w:val="24"/>
        </w:rPr>
        <w:t>（三）RWA的常见类型</w:t>
      </w:r>
    </w:p>
    <w:p w14:paraId="51A684C2" w14:textId="7C11D043" w:rsidR="00420924" w:rsidRPr="00420924" w:rsidRDefault="00420924" w:rsidP="00420924">
      <w:pPr>
        <w:ind w:firstLineChars="200" w:firstLine="480"/>
        <w:rPr>
          <w:rFonts w:ascii="仿宋" w:eastAsia="仿宋" w:hAnsi="仿宋"/>
          <w:sz w:val="24"/>
          <w:szCs w:val="24"/>
        </w:rPr>
      </w:pPr>
    </w:p>
    <w:p w14:paraId="7C3FE076" w14:textId="77777777" w:rsidR="00420924" w:rsidRPr="00420924" w:rsidRDefault="00420924" w:rsidP="00420924">
      <w:pPr>
        <w:ind w:firstLineChars="200" w:firstLine="482"/>
        <w:rPr>
          <w:rFonts w:ascii="仿宋" w:eastAsia="仿宋" w:hAnsi="仿宋"/>
          <w:sz w:val="24"/>
          <w:szCs w:val="24"/>
        </w:rPr>
      </w:pPr>
      <w:r w:rsidRPr="00420924">
        <w:rPr>
          <w:rFonts w:ascii="仿宋" w:eastAsia="仿宋" w:hAnsi="仿宋"/>
          <w:b/>
          <w:bCs/>
          <w:sz w:val="24"/>
          <w:szCs w:val="24"/>
        </w:rPr>
        <w:t>1.不动产代币化</w:t>
      </w:r>
    </w:p>
    <w:p w14:paraId="399314D7" w14:textId="526F9931" w:rsidR="00420924" w:rsidRPr="00420924" w:rsidRDefault="00420924" w:rsidP="00420924">
      <w:pPr>
        <w:ind w:firstLineChars="200" w:firstLine="480"/>
        <w:rPr>
          <w:rFonts w:ascii="仿宋" w:eastAsia="仿宋" w:hAnsi="仿宋"/>
          <w:sz w:val="24"/>
          <w:szCs w:val="24"/>
        </w:rPr>
      </w:pPr>
    </w:p>
    <w:p w14:paraId="5A934D40" w14:textId="77777777" w:rsidR="00420924" w:rsidRPr="00420924" w:rsidRDefault="00420924" w:rsidP="00420924">
      <w:pPr>
        <w:ind w:firstLineChars="200" w:firstLine="480"/>
        <w:rPr>
          <w:rFonts w:ascii="仿宋" w:eastAsia="仿宋" w:hAnsi="仿宋"/>
          <w:sz w:val="24"/>
          <w:szCs w:val="24"/>
        </w:rPr>
      </w:pPr>
      <w:r w:rsidRPr="00420924">
        <w:rPr>
          <w:rFonts w:ascii="仿宋" w:eastAsia="仿宋" w:hAnsi="仿宋"/>
          <w:sz w:val="24"/>
          <w:szCs w:val="24"/>
        </w:rPr>
        <w:t>不动产代币化是RWA领域发展迄今最为成熟的市场之一。传统房地产投资长期存在流动性差、交易成本高、准入门槛高等痛点，但是通过区块链技术，房地产可以被分割为若干标准化数字份额（通常以NFT或ERC-20代币形式存在），不仅大幅降低了投资门槛，</w:t>
      </w:r>
      <w:proofErr w:type="gramStart"/>
      <w:r w:rsidRPr="00420924">
        <w:rPr>
          <w:rFonts w:ascii="仿宋" w:eastAsia="仿宋" w:hAnsi="仿宋"/>
          <w:sz w:val="24"/>
          <w:szCs w:val="24"/>
        </w:rPr>
        <w:t>还显著</w:t>
      </w:r>
      <w:proofErr w:type="gramEnd"/>
      <w:r w:rsidRPr="00420924">
        <w:rPr>
          <w:rFonts w:ascii="仿宋" w:eastAsia="仿宋" w:hAnsi="仿宋"/>
          <w:sz w:val="24"/>
          <w:szCs w:val="24"/>
        </w:rPr>
        <w:t>提升了资产的流动性。从市场实践来看，美国在该领域处于领先地位，涌现出多个具有代表性的创新项目。例如，</w:t>
      </w:r>
      <w:proofErr w:type="spellStart"/>
      <w:r w:rsidRPr="00420924">
        <w:rPr>
          <w:rFonts w:ascii="仿宋" w:eastAsia="仿宋" w:hAnsi="仿宋"/>
          <w:sz w:val="24"/>
          <w:szCs w:val="24"/>
        </w:rPr>
        <w:t>RealT</w:t>
      </w:r>
      <w:proofErr w:type="spellEnd"/>
      <w:r w:rsidRPr="00420924">
        <w:rPr>
          <w:rFonts w:ascii="仿宋" w:eastAsia="仿宋" w:hAnsi="仿宋"/>
          <w:sz w:val="24"/>
          <w:szCs w:val="24"/>
        </w:rPr>
        <w:t>平台通过智能合约技术，将位于底特律等地的住宅房产进行代币化，投资者只需花费几百美元即可购买房产份额，并定期获得租金收益。另一个典型案例</w:t>
      </w:r>
      <w:proofErr w:type="spellStart"/>
      <w:r w:rsidRPr="00420924">
        <w:rPr>
          <w:rFonts w:ascii="仿宋" w:eastAsia="仿宋" w:hAnsi="仿宋"/>
          <w:sz w:val="24"/>
          <w:szCs w:val="24"/>
        </w:rPr>
        <w:t>Propy</w:t>
      </w:r>
      <w:proofErr w:type="spellEnd"/>
      <w:r w:rsidRPr="00420924">
        <w:rPr>
          <w:rFonts w:ascii="仿宋" w:eastAsia="仿宋" w:hAnsi="仿宋"/>
          <w:sz w:val="24"/>
          <w:szCs w:val="24"/>
        </w:rPr>
        <w:t>体现出利用区块链技术简化跨境房产交易流程的优势，其富有创新性的去中心化产权登记系统大大提高了现代交易效率和透明度。</w:t>
      </w:r>
    </w:p>
    <w:p w14:paraId="60078596" w14:textId="1E54DA93" w:rsidR="00420924" w:rsidRPr="00420924" w:rsidRDefault="00420924" w:rsidP="00420924">
      <w:pPr>
        <w:ind w:firstLineChars="200" w:firstLine="480"/>
        <w:rPr>
          <w:rFonts w:ascii="仿宋" w:eastAsia="仿宋" w:hAnsi="仿宋"/>
          <w:sz w:val="24"/>
          <w:szCs w:val="24"/>
        </w:rPr>
      </w:pPr>
    </w:p>
    <w:p w14:paraId="1B9CB691" w14:textId="77777777" w:rsidR="00420924" w:rsidRPr="00420924" w:rsidRDefault="00420924" w:rsidP="00420924">
      <w:pPr>
        <w:ind w:firstLineChars="200" w:firstLine="482"/>
        <w:rPr>
          <w:rFonts w:ascii="仿宋" w:eastAsia="仿宋" w:hAnsi="仿宋"/>
          <w:sz w:val="24"/>
          <w:szCs w:val="24"/>
        </w:rPr>
      </w:pPr>
      <w:r w:rsidRPr="00420924">
        <w:rPr>
          <w:rFonts w:ascii="仿宋" w:eastAsia="仿宋" w:hAnsi="仿宋"/>
          <w:b/>
          <w:bCs/>
          <w:sz w:val="24"/>
          <w:szCs w:val="24"/>
        </w:rPr>
        <w:t>2.金融资产代币化</w:t>
      </w:r>
    </w:p>
    <w:p w14:paraId="6614A1CE" w14:textId="3851F0DA" w:rsidR="00420924" w:rsidRPr="00420924" w:rsidRDefault="00420924" w:rsidP="00420924">
      <w:pPr>
        <w:ind w:firstLineChars="200" w:firstLine="480"/>
        <w:rPr>
          <w:rFonts w:ascii="仿宋" w:eastAsia="仿宋" w:hAnsi="仿宋"/>
          <w:sz w:val="24"/>
          <w:szCs w:val="24"/>
        </w:rPr>
      </w:pPr>
    </w:p>
    <w:p w14:paraId="40904077" w14:textId="77777777" w:rsidR="00420924" w:rsidRPr="00420924" w:rsidRDefault="00420924" w:rsidP="00420924">
      <w:pPr>
        <w:ind w:firstLineChars="200" w:firstLine="480"/>
        <w:rPr>
          <w:rFonts w:ascii="仿宋" w:eastAsia="仿宋" w:hAnsi="仿宋"/>
          <w:sz w:val="24"/>
          <w:szCs w:val="24"/>
        </w:rPr>
      </w:pPr>
      <w:r w:rsidRPr="00420924">
        <w:rPr>
          <w:rFonts w:ascii="仿宋" w:eastAsia="仿宋" w:hAnsi="仿宋"/>
          <w:sz w:val="24"/>
          <w:szCs w:val="24"/>
        </w:rPr>
        <w:t>金融资产代币化正在重塑传统资本市场的运作模式，其类别涵盖了债券、股票、基金以及各类应收账款等金融工具。通过区块链技术实现的金融资产代币化具有多重优势：首先，智能合约可以自动化执行分红、派息等操作，显著降低运营成本；其次，24/7的交易机制打破了传统市场的时空限制；最后，代币化使得原本流动性较差的私</w:t>
      </w:r>
      <w:proofErr w:type="gramStart"/>
      <w:r w:rsidRPr="00420924">
        <w:rPr>
          <w:rFonts w:ascii="仿宋" w:eastAsia="仿宋" w:hAnsi="仿宋"/>
          <w:sz w:val="24"/>
          <w:szCs w:val="24"/>
        </w:rPr>
        <w:t>募股权</w:t>
      </w:r>
      <w:proofErr w:type="gramEnd"/>
      <w:r w:rsidRPr="00420924">
        <w:rPr>
          <w:rFonts w:ascii="仿宋" w:eastAsia="仿宋" w:hAnsi="仿宋"/>
          <w:sz w:val="24"/>
          <w:szCs w:val="24"/>
        </w:rPr>
        <w:t>等资产获得了更好的流动性。在实践层面，Ondo Finance推出的美国国债代币化产品，如OUSG，为加密市场投资者提供了稳定的收益来源，而Securitize等平台则为初创企业提供了合</w:t>
      </w:r>
      <w:proofErr w:type="gramStart"/>
      <w:r w:rsidRPr="00420924">
        <w:rPr>
          <w:rFonts w:ascii="仿宋" w:eastAsia="仿宋" w:hAnsi="仿宋"/>
          <w:sz w:val="24"/>
          <w:szCs w:val="24"/>
        </w:rPr>
        <w:t>规</w:t>
      </w:r>
      <w:proofErr w:type="gramEnd"/>
      <w:r w:rsidRPr="00420924">
        <w:rPr>
          <w:rFonts w:ascii="仿宋" w:eastAsia="仿宋" w:hAnsi="仿宋"/>
          <w:sz w:val="24"/>
          <w:szCs w:val="24"/>
        </w:rPr>
        <w:t>的证券型代币发行（STO）解决方案。值得注意的是，金融资产代币化对监管合</w:t>
      </w:r>
      <w:proofErr w:type="gramStart"/>
      <w:r w:rsidRPr="00420924">
        <w:rPr>
          <w:rFonts w:ascii="仿宋" w:eastAsia="仿宋" w:hAnsi="仿宋"/>
          <w:sz w:val="24"/>
          <w:szCs w:val="24"/>
        </w:rPr>
        <w:t>规</w:t>
      </w:r>
      <w:proofErr w:type="gramEnd"/>
      <w:r w:rsidRPr="00420924">
        <w:rPr>
          <w:rFonts w:ascii="仿宋" w:eastAsia="仿宋" w:hAnsi="仿宋"/>
          <w:sz w:val="24"/>
          <w:szCs w:val="24"/>
        </w:rPr>
        <w:t>要求极高，各国证券监管机构正在逐步完善相关法规框架。</w:t>
      </w:r>
    </w:p>
    <w:p w14:paraId="7905ECE5" w14:textId="3A919E8E" w:rsidR="00420924" w:rsidRPr="00420924" w:rsidRDefault="00420924" w:rsidP="00420924">
      <w:pPr>
        <w:ind w:firstLineChars="200" w:firstLine="480"/>
        <w:rPr>
          <w:rFonts w:ascii="仿宋" w:eastAsia="仿宋" w:hAnsi="仿宋"/>
          <w:sz w:val="24"/>
          <w:szCs w:val="24"/>
        </w:rPr>
      </w:pPr>
    </w:p>
    <w:p w14:paraId="735DFAF5" w14:textId="77777777" w:rsidR="00420924" w:rsidRPr="00420924" w:rsidRDefault="00420924" w:rsidP="00420924">
      <w:pPr>
        <w:ind w:firstLineChars="200" w:firstLine="482"/>
        <w:rPr>
          <w:rFonts w:ascii="仿宋" w:eastAsia="仿宋" w:hAnsi="仿宋"/>
          <w:sz w:val="24"/>
          <w:szCs w:val="24"/>
        </w:rPr>
      </w:pPr>
      <w:r w:rsidRPr="00420924">
        <w:rPr>
          <w:rFonts w:ascii="仿宋" w:eastAsia="仿宋" w:hAnsi="仿宋"/>
          <w:b/>
          <w:bCs/>
          <w:sz w:val="24"/>
          <w:szCs w:val="24"/>
        </w:rPr>
        <w:t>3.大宗商品代币化</w:t>
      </w:r>
    </w:p>
    <w:p w14:paraId="77718D40" w14:textId="7F7C92BC" w:rsidR="00420924" w:rsidRPr="00420924" w:rsidRDefault="00420924" w:rsidP="00420924">
      <w:pPr>
        <w:ind w:firstLineChars="200" w:firstLine="480"/>
        <w:rPr>
          <w:rFonts w:ascii="仿宋" w:eastAsia="仿宋" w:hAnsi="仿宋"/>
          <w:sz w:val="24"/>
          <w:szCs w:val="24"/>
        </w:rPr>
      </w:pPr>
    </w:p>
    <w:p w14:paraId="5A44C104" w14:textId="77777777" w:rsidR="00420924" w:rsidRPr="00420924" w:rsidRDefault="00420924" w:rsidP="00420924">
      <w:pPr>
        <w:ind w:firstLineChars="200" w:firstLine="480"/>
        <w:rPr>
          <w:rFonts w:ascii="仿宋" w:eastAsia="仿宋" w:hAnsi="仿宋"/>
          <w:sz w:val="24"/>
          <w:szCs w:val="24"/>
        </w:rPr>
      </w:pPr>
      <w:r w:rsidRPr="00420924">
        <w:rPr>
          <w:rFonts w:ascii="仿宋" w:eastAsia="仿宋" w:hAnsi="仿宋"/>
          <w:sz w:val="24"/>
          <w:szCs w:val="24"/>
        </w:rPr>
        <w:t>大宗商品代币化为这一传统资产类别注入了新的活力。黄金、石油、农产品等大宗商品具有显著的抗通胀特性，但传统交易方式存在存储成本高、交易流程复杂等问题。代币化技术通过将实物资产与区块链代币锚定，有效解决了这些痛点。Pax Gold（PAXG）是这一领域的标杆项目，每个PAXG代币都对应伦敦金库托管的一盎司实物黄金，这样一来投资者可以随时兑换；此外由Centrifuge开发的</w:t>
      </w:r>
      <w:proofErr w:type="spellStart"/>
      <w:r w:rsidRPr="00420924">
        <w:rPr>
          <w:rFonts w:ascii="仿宋" w:eastAsia="仿宋" w:hAnsi="仿宋"/>
          <w:sz w:val="24"/>
          <w:szCs w:val="24"/>
        </w:rPr>
        <w:t>Tinlake</w:t>
      </w:r>
      <w:proofErr w:type="spellEnd"/>
      <w:r w:rsidRPr="00420924">
        <w:rPr>
          <w:rFonts w:ascii="仿宋" w:eastAsia="仿宋" w:hAnsi="仿宋"/>
          <w:sz w:val="24"/>
          <w:szCs w:val="24"/>
        </w:rPr>
        <w:t>专注于将大宗商品贸易应收账款代币化，其为供应</w:t>
      </w:r>
      <w:proofErr w:type="gramStart"/>
      <w:r w:rsidRPr="00420924">
        <w:rPr>
          <w:rFonts w:ascii="仿宋" w:eastAsia="仿宋" w:hAnsi="仿宋"/>
          <w:sz w:val="24"/>
          <w:szCs w:val="24"/>
        </w:rPr>
        <w:t>链金融</w:t>
      </w:r>
      <w:proofErr w:type="gramEnd"/>
      <w:r w:rsidRPr="00420924">
        <w:rPr>
          <w:rFonts w:ascii="仿宋" w:eastAsia="仿宋" w:hAnsi="仿宋"/>
          <w:sz w:val="24"/>
          <w:szCs w:val="24"/>
        </w:rPr>
        <w:t>提供了全新的解决方案。上述创新不仅降低了个人投资者的参与门槛，还通过智能合约实现了更高效的结算和清算流程。</w:t>
      </w:r>
    </w:p>
    <w:p w14:paraId="1AAD9E88" w14:textId="69163EBD" w:rsidR="00420924" w:rsidRPr="00420924" w:rsidRDefault="00420924" w:rsidP="00420924">
      <w:pPr>
        <w:ind w:firstLineChars="200" w:firstLine="480"/>
        <w:rPr>
          <w:rFonts w:ascii="仿宋" w:eastAsia="仿宋" w:hAnsi="仿宋"/>
          <w:sz w:val="24"/>
          <w:szCs w:val="24"/>
        </w:rPr>
      </w:pPr>
    </w:p>
    <w:p w14:paraId="11A78659" w14:textId="77777777" w:rsidR="00420924" w:rsidRPr="00420924" w:rsidRDefault="00420924" w:rsidP="00420924">
      <w:pPr>
        <w:ind w:firstLineChars="200" w:firstLine="482"/>
        <w:rPr>
          <w:rFonts w:ascii="仿宋" w:eastAsia="仿宋" w:hAnsi="仿宋"/>
          <w:sz w:val="24"/>
          <w:szCs w:val="24"/>
        </w:rPr>
      </w:pPr>
      <w:r w:rsidRPr="00420924">
        <w:rPr>
          <w:rFonts w:ascii="仿宋" w:eastAsia="仿宋" w:hAnsi="仿宋"/>
          <w:b/>
          <w:bCs/>
          <w:sz w:val="24"/>
          <w:szCs w:val="24"/>
        </w:rPr>
        <w:lastRenderedPageBreak/>
        <w:t>（四）RWA的投资价值</w:t>
      </w:r>
    </w:p>
    <w:p w14:paraId="62D9CDFC" w14:textId="1571D006" w:rsidR="00420924" w:rsidRPr="00420924" w:rsidRDefault="00420924" w:rsidP="00420924">
      <w:pPr>
        <w:ind w:firstLineChars="200" w:firstLine="480"/>
        <w:rPr>
          <w:rFonts w:ascii="仿宋" w:eastAsia="仿宋" w:hAnsi="仿宋"/>
          <w:sz w:val="24"/>
          <w:szCs w:val="24"/>
        </w:rPr>
      </w:pPr>
    </w:p>
    <w:p w14:paraId="58C02B97" w14:textId="77777777" w:rsidR="00420924" w:rsidRPr="00420924" w:rsidRDefault="00420924" w:rsidP="00420924">
      <w:pPr>
        <w:ind w:firstLineChars="200" w:firstLine="482"/>
        <w:rPr>
          <w:rFonts w:ascii="仿宋" w:eastAsia="仿宋" w:hAnsi="仿宋"/>
          <w:sz w:val="24"/>
          <w:szCs w:val="24"/>
        </w:rPr>
      </w:pPr>
      <w:r w:rsidRPr="00420924">
        <w:rPr>
          <w:rFonts w:ascii="仿宋" w:eastAsia="仿宋" w:hAnsi="仿宋"/>
          <w:b/>
          <w:bCs/>
          <w:sz w:val="24"/>
          <w:szCs w:val="24"/>
        </w:rPr>
        <w:t>1.收益稳定性与风险分散价值</w:t>
      </w:r>
    </w:p>
    <w:p w14:paraId="5F552109" w14:textId="4A463738" w:rsidR="00420924" w:rsidRPr="00420924" w:rsidRDefault="00420924" w:rsidP="00420924">
      <w:pPr>
        <w:ind w:firstLineChars="200" w:firstLine="480"/>
        <w:rPr>
          <w:rFonts w:ascii="仿宋" w:eastAsia="仿宋" w:hAnsi="仿宋"/>
          <w:sz w:val="24"/>
          <w:szCs w:val="24"/>
        </w:rPr>
      </w:pPr>
    </w:p>
    <w:p w14:paraId="5FE146A9" w14:textId="77777777" w:rsidR="00420924" w:rsidRPr="00420924" w:rsidRDefault="00420924" w:rsidP="00420924">
      <w:pPr>
        <w:ind w:firstLineChars="200" w:firstLine="480"/>
        <w:rPr>
          <w:rFonts w:ascii="仿宋" w:eastAsia="仿宋" w:hAnsi="仿宋"/>
          <w:sz w:val="24"/>
          <w:szCs w:val="24"/>
        </w:rPr>
      </w:pPr>
      <w:r w:rsidRPr="00420924">
        <w:rPr>
          <w:rFonts w:ascii="仿宋" w:eastAsia="仿宋" w:hAnsi="仿宋"/>
          <w:sz w:val="24"/>
          <w:szCs w:val="24"/>
        </w:rPr>
        <w:t>现实世界资产代币化的发展在于契合当前投资者对于相对稳定的收益来源的强烈需求。相较于传统加密货币，RWA产品通常是具有更加稳定现金流的实体资产，如房地产租金、债券利息或大宗商品溢价等。以美国国债代币化产品为例，Ondo Finance提供的OUSG</w:t>
      </w:r>
      <w:proofErr w:type="gramStart"/>
      <w:r w:rsidRPr="00420924">
        <w:rPr>
          <w:rFonts w:ascii="仿宋" w:eastAsia="仿宋" w:hAnsi="仿宋"/>
          <w:sz w:val="24"/>
          <w:szCs w:val="24"/>
        </w:rPr>
        <w:t>产品年化收益率</w:t>
      </w:r>
      <w:proofErr w:type="gramEnd"/>
      <w:r w:rsidRPr="00420924">
        <w:rPr>
          <w:rFonts w:ascii="仿宋" w:eastAsia="仿宋" w:hAnsi="仿宋"/>
          <w:sz w:val="24"/>
          <w:szCs w:val="24"/>
        </w:rPr>
        <w:t>维持在4%～5%区间，从波动率上看，该产品明显低于主流的加密货币。这种收益特性契合了当下更加追求稳健回报的机构投资者和个人投资者。</w:t>
      </w:r>
    </w:p>
    <w:p w14:paraId="6060ACEA" w14:textId="02C12C4D" w:rsidR="00420924" w:rsidRPr="00420924" w:rsidRDefault="00420924" w:rsidP="00420924">
      <w:pPr>
        <w:ind w:firstLineChars="200" w:firstLine="480"/>
        <w:rPr>
          <w:rFonts w:ascii="仿宋" w:eastAsia="仿宋" w:hAnsi="仿宋"/>
          <w:sz w:val="24"/>
          <w:szCs w:val="24"/>
        </w:rPr>
      </w:pPr>
    </w:p>
    <w:p w14:paraId="77D67FF2" w14:textId="77777777" w:rsidR="00420924" w:rsidRPr="00420924" w:rsidRDefault="00420924" w:rsidP="00420924">
      <w:pPr>
        <w:ind w:firstLineChars="200" w:firstLine="480"/>
        <w:rPr>
          <w:rFonts w:ascii="仿宋" w:eastAsia="仿宋" w:hAnsi="仿宋"/>
          <w:sz w:val="24"/>
          <w:szCs w:val="24"/>
        </w:rPr>
      </w:pPr>
      <w:r w:rsidRPr="00420924">
        <w:rPr>
          <w:rFonts w:ascii="仿宋" w:eastAsia="仿宋" w:hAnsi="仿宋"/>
          <w:sz w:val="24"/>
          <w:szCs w:val="24"/>
        </w:rPr>
        <w:t>另外，从资产配置的角度分析，RWA产品与传统金融资产的相关性较低。根据Fidelity Digital Assets在2023年发布的研究报告显示，RWA产品与传统股票市场的相关系数仅为0.32，与加密货币市场的相关系数为0.41，这表明其具有突出的风险分散能力和价值。这种价值使RWA产品成为投资组合中有效的对冲工具，尤其在市场波动加剧的时期表现得尤为突出。</w:t>
      </w:r>
    </w:p>
    <w:p w14:paraId="7AF7592D" w14:textId="47CD27FD" w:rsidR="00420924" w:rsidRPr="00420924" w:rsidRDefault="00420924" w:rsidP="00420924">
      <w:pPr>
        <w:ind w:firstLineChars="200" w:firstLine="480"/>
        <w:rPr>
          <w:rFonts w:ascii="仿宋" w:eastAsia="仿宋" w:hAnsi="仿宋"/>
          <w:sz w:val="24"/>
          <w:szCs w:val="24"/>
        </w:rPr>
      </w:pPr>
    </w:p>
    <w:p w14:paraId="7E2513B2" w14:textId="77777777" w:rsidR="00420924" w:rsidRPr="00420924" w:rsidRDefault="00420924" w:rsidP="00420924">
      <w:pPr>
        <w:ind w:firstLineChars="200" w:firstLine="482"/>
        <w:rPr>
          <w:rFonts w:ascii="仿宋" w:eastAsia="仿宋" w:hAnsi="仿宋"/>
          <w:sz w:val="24"/>
          <w:szCs w:val="24"/>
        </w:rPr>
      </w:pPr>
      <w:r w:rsidRPr="00420924">
        <w:rPr>
          <w:rFonts w:ascii="仿宋" w:eastAsia="仿宋" w:hAnsi="仿宋"/>
          <w:b/>
          <w:bCs/>
          <w:sz w:val="24"/>
          <w:szCs w:val="24"/>
        </w:rPr>
        <w:t>2.流动性溢价与市场效率提升</w:t>
      </w:r>
    </w:p>
    <w:p w14:paraId="6F7199B5" w14:textId="24840096" w:rsidR="00420924" w:rsidRPr="00420924" w:rsidRDefault="00420924" w:rsidP="00420924">
      <w:pPr>
        <w:ind w:firstLineChars="200" w:firstLine="480"/>
        <w:rPr>
          <w:rFonts w:ascii="仿宋" w:eastAsia="仿宋" w:hAnsi="仿宋"/>
          <w:sz w:val="24"/>
          <w:szCs w:val="24"/>
        </w:rPr>
      </w:pPr>
    </w:p>
    <w:p w14:paraId="7245AF98" w14:textId="52D7ABE6" w:rsidR="00420924" w:rsidRPr="00420924" w:rsidRDefault="00420924" w:rsidP="00420924">
      <w:pPr>
        <w:ind w:firstLineChars="200" w:firstLine="480"/>
        <w:rPr>
          <w:rFonts w:ascii="仿宋" w:eastAsia="仿宋" w:hAnsi="仿宋" w:hint="eastAsia"/>
          <w:sz w:val="24"/>
          <w:szCs w:val="24"/>
        </w:rPr>
      </w:pPr>
      <w:r w:rsidRPr="00420924">
        <w:rPr>
          <w:rFonts w:ascii="仿宋" w:eastAsia="仿宋" w:hAnsi="仿宋"/>
          <w:sz w:val="24"/>
          <w:szCs w:val="24"/>
        </w:rPr>
        <w:t>由于流动性匮乏，传统另类资产市场长期饱受交易僵化及流动性不足的双重困扰。以商业地产为例，平均交易周期长达6-9个月，交易成本高达交易金额的5%～7%。通过代币化技术，可以使这些资产的流动性得到巨大的提升。数据显示，2023年通过</w:t>
      </w:r>
      <w:proofErr w:type="spellStart"/>
      <w:r w:rsidRPr="00420924">
        <w:rPr>
          <w:rFonts w:ascii="仿宋" w:eastAsia="仿宋" w:hAnsi="仿宋"/>
          <w:sz w:val="24"/>
          <w:szCs w:val="24"/>
        </w:rPr>
        <w:t>RealT</w:t>
      </w:r>
      <w:proofErr w:type="spellEnd"/>
      <w:r w:rsidRPr="00420924">
        <w:rPr>
          <w:rFonts w:ascii="仿宋" w:eastAsia="仿宋" w:hAnsi="仿宋"/>
          <w:sz w:val="24"/>
          <w:szCs w:val="24"/>
        </w:rPr>
        <w:t>平台交易的房地产代币的平均持有期限仅为47天，而二级市场的日均交易量已突破2000万美元。</w:t>
      </w:r>
    </w:p>
    <w:p w14:paraId="766E4896" w14:textId="77777777" w:rsidR="00420924" w:rsidRPr="00420924" w:rsidRDefault="00420924" w:rsidP="00420924">
      <w:pPr>
        <w:ind w:firstLineChars="200" w:firstLine="480"/>
        <w:rPr>
          <w:rFonts w:ascii="仿宋" w:eastAsia="仿宋" w:hAnsi="仿宋"/>
          <w:sz w:val="24"/>
          <w:szCs w:val="24"/>
        </w:rPr>
      </w:pPr>
      <w:r w:rsidRPr="00420924">
        <w:rPr>
          <w:rFonts w:ascii="仿宋" w:eastAsia="仿宋" w:hAnsi="仿宋"/>
          <w:sz w:val="24"/>
          <w:szCs w:val="24"/>
        </w:rPr>
        <w:t>流动性提升所带来的另一重要价值在于价格发现机制的显著改善。区块链技术提供的透明交易记录和实时结算功能，使得资产定价更加高效。BlackRock的研究指出，代币</w:t>
      </w:r>
      <w:proofErr w:type="gramStart"/>
      <w:r w:rsidRPr="00420924">
        <w:rPr>
          <w:rFonts w:ascii="仿宋" w:eastAsia="仿宋" w:hAnsi="仿宋"/>
          <w:sz w:val="24"/>
          <w:szCs w:val="24"/>
        </w:rPr>
        <w:t>化私募股权</w:t>
      </w:r>
      <w:proofErr w:type="gramEnd"/>
      <w:r w:rsidRPr="00420924">
        <w:rPr>
          <w:rFonts w:ascii="仿宋" w:eastAsia="仿宋" w:hAnsi="仿宋"/>
          <w:sz w:val="24"/>
          <w:szCs w:val="24"/>
        </w:rPr>
        <w:t>的买卖价差比传统市场缩小了60%，交易成本得到明显控制。</w:t>
      </w:r>
    </w:p>
    <w:p w14:paraId="7FE391C2" w14:textId="36EA7231" w:rsidR="00420924" w:rsidRPr="00420924" w:rsidRDefault="00420924" w:rsidP="00420924">
      <w:pPr>
        <w:ind w:firstLineChars="200" w:firstLine="480"/>
        <w:rPr>
          <w:rFonts w:ascii="仿宋" w:eastAsia="仿宋" w:hAnsi="仿宋"/>
          <w:sz w:val="24"/>
          <w:szCs w:val="24"/>
        </w:rPr>
      </w:pPr>
    </w:p>
    <w:p w14:paraId="585BB5A3" w14:textId="77777777" w:rsidR="00420924" w:rsidRPr="00420924" w:rsidRDefault="00420924" w:rsidP="00420924">
      <w:pPr>
        <w:ind w:firstLineChars="200" w:firstLine="482"/>
        <w:rPr>
          <w:rFonts w:ascii="仿宋" w:eastAsia="仿宋" w:hAnsi="仿宋"/>
          <w:sz w:val="24"/>
          <w:szCs w:val="24"/>
        </w:rPr>
      </w:pPr>
      <w:r w:rsidRPr="00420924">
        <w:rPr>
          <w:rFonts w:ascii="仿宋" w:eastAsia="仿宋" w:hAnsi="仿宋"/>
          <w:b/>
          <w:bCs/>
          <w:sz w:val="24"/>
          <w:szCs w:val="24"/>
        </w:rPr>
        <w:t>3.普惠金融与投资民主化价值</w:t>
      </w:r>
    </w:p>
    <w:p w14:paraId="51541949" w14:textId="5B2BA142" w:rsidR="00420924" w:rsidRPr="00420924" w:rsidRDefault="00420924" w:rsidP="00420924">
      <w:pPr>
        <w:ind w:firstLineChars="200" w:firstLine="480"/>
        <w:rPr>
          <w:rFonts w:ascii="仿宋" w:eastAsia="仿宋" w:hAnsi="仿宋"/>
          <w:sz w:val="24"/>
          <w:szCs w:val="24"/>
        </w:rPr>
      </w:pPr>
    </w:p>
    <w:p w14:paraId="167658B9" w14:textId="1F26E503" w:rsidR="00420924" w:rsidRPr="00420924" w:rsidRDefault="00420924" w:rsidP="00420924">
      <w:pPr>
        <w:ind w:firstLineChars="200" w:firstLine="480"/>
        <w:rPr>
          <w:rFonts w:ascii="仿宋" w:eastAsia="仿宋" w:hAnsi="仿宋" w:hint="eastAsia"/>
          <w:sz w:val="24"/>
          <w:szCs w:val="24"/>
        </w:rPr>
      </w:pPr>
      <w:r w:rsidRPr="00420924">
        <w:rPr>
          <w:rFonts w:ascii="仿宋" w:eastAsia="仿宋" w:hAnsi="仿宋"/>
          <w:sz w:val="24"/>
          <w:szCs w:val="24"/>
        </w:rPr>
        <w:t>传统投资市场的参与门槛正在因RWA的出现而发生改变。在传统金融市场中，优质资产往往被机构投资者垄断。以私</w:t>
      </w:r>
      <w:proofErr w:type="gramStart"/>
      <w:r w:rsidRPr="00420924">
        <w:rPr>
          <w:rFonts w:ascii="仿宋" w:eastAsia="仿宋" w:hAnsi="仿宋"/>
          <w:sz w:val="24"/>
          <w:szCs w:val="24"/>
        </w:rPr>
        <w:t>募股权</w:t>
      </w:r>
      <w:proofErr w:type="gramEnd"/>
      <w:r w:rsidRPr="00420924">
        <w:rPr>
          <w:rFonts w:ascii="仿宋" w:eastAsia="仿宋" w:hAnsi="仿宋"/>
          <w:sz w:val="24"/>
          <w:szCs w:val="24"/>
        </w:rPr>
        <w:t>市场为例，最低投资门槛通常高达100万美元。而通过代币化技术，这些资产可以被分割为小额份额，从而降低了参与的门槛。例如，某平台提供的私</w:t>
      </w:r>
      <w:proofErr w:type="gramStart"/>
      <w:r w:rsidRPr="00420924">
        <w:rPr>
          <w:rFonts w:ascii="仿宋" w:eastAsia="仿宋" w:hAnsi="仿宋"/>
          <w:sz w:val="24"/>
          <w:szCs w:val="24"/>
        </w:rPr>
        <w:t>募股权</w:t>
      </w:r>
      <w:proofErr w:type="gramEnd"/>
      <w:r w:rsidRPr="00420924">
        <w:rPr>
          <w:rFonts w:ascii="仿宋" w:eastAsia="仿宋" w:hAnsi="仿宋"/>
          <w:sz w:val="24"/>
          <w:szCs w:val="24"/>
        </w:rPr>
        <w:t>代币最低投资额仅需1万美元，这使得更多个人投资者得以参与原本封闭的高收益投资机会。</w:t>
      </w:r>
    </w:p>
    <w:p w14:paraId="55366282" w14:textId="77777777" w:rsidR="00420924" w:rsidRPr="00420924" w:rsidRDefault="00420924" w:rsidP="00420924">
      <w:pPr>
        <w:ind w:firstLineChars="200" w:firstLine="480"/>
        <w:rPr>
          <w:rFonts w:ascii="仿宋" w:eastAsia="仿宋" w:hAnsi="仿宋"/>
          <w:sz w:val="24"/>
          <w:szCs w:val="24"/>
        </w:rPr>
      </w:pPr>
      <w:r w:rsidRPr="00420924">
        <w:rPr>
          <w:rFonts w:ascii="仿宋" w:eastAsia="仿宋" w:hAnsi="仿宋"/>
          <w:sz w:val="24"/>
          <w:szCs w:val="24"/>
        </w:rPr>
        <w:t>世界银行2023年报告显示，在东南亚地区，通过RWA平台参与全球资产配置的个人投资者数量在过去两年增长了300%，其中60%的投资者首次接触到国际金融市场。这种例子说明RWA带来的普惠特性在发展中国家市场表现尤为突出。</w:t>
      </w:r>
    </w:p>
    <w:p w14:paraId="226E0300" w14:textId="3EF6DA71" w:rsidR="00420924" w:rsidRPr="00420924" w:rsidRDefault="00420924" w:rsidP="00420924">
      <w:pPr>
        <w:ind w:firstLineChars="200" w:firstLine="480"/>
        <w:rPr>
          <w:rFonts w:ascii="仿宋" w:eastAsia="仿宋" w:hAnsi="仿宋"/>
          <w:sz w:val="24"/>
          <w:szCs w:val="24"/>
        </w:rPr>
      </w:pPr>
    </w:p>
    <w:p w14:paraId="7175CE72" w14:textId="77777777" w:rsidR="00420924" w:rsidRPr="00420924" w:rsidRDefault="00420924" w:rsidP="00420924">
      <w:pPr>
        <w:ind w:firstLineChars="200" w:firstLine="482"/>
        <w:rPr>
          <w:rFonts w:ascii="仿宋" w:eastAsia="仿宋" w:hAnsi="仿宋"/>
          <w:sz w:val="24"/>
          <w:szCs w:val="24"/>
        </w:rPr>
      </w:pPr>
      <w:r w:rsidRPr="00420924">
        <w:rPr>
          <w:rFonts w:ascii="仿宋" w:eastAsia="仿宋" w:hAnsi="仿宋"/>
          <w:b/>
          <w:bCs/>
          <w:sz w:val="24"/>
          <w:szCs w:val="24"/>
        </w:rPr>
        <w:t>二、内地居民个人如何参与RWA？</w:t>
      </w:r>
    </w:p>
    <w:p w14:paraId="4F7DD523" w14:textId="322C7444" w:rsidR="00420924" w:rsidRPr="00420924" w:rsidRDefault="00420924" w:rsidP="00420924">
      <w:pPr>
        <w:ind w:firstLineChars="200" w:firstLine="480"/>
        <w:rPr>
          <w:rFonts w:ascii="仿宋" w:eastAsia="仿宋" w:hAnsi="仿宋"/>
          <w:sz w:val="24"/>
          <w:szCs w:val="24"/>
        </w:rPr>
      </w:pPr>
    </w:p>
    <w:p w14:paraId="296684F2" w14:textId="77777777" w:rsidR="00420924" w:rsidRPr="00420924" w:rsidRDefault="00420924" w:rsidP="00420924">
      <w:pPr>
        <w:ind w:firstLineChars="200" w:firstLine="482"/>
        <w:rPr>
          <w:rFonts w:ascii="仿宋" w:eastAsia="仿宋" w:hAnsi="仿宋"/>
          <w:sz w:val="24"/>
          <w:szCs w:val="24"/>
        </w:rPr>
      </w:pPr>
      <w:r w:rsidRPr="00420924">
        <w:rPr>
          <w:rFonts w:ascii="仿宋" w:eastAsia="仿宋" w:hAnsi="仿宋"/>
          <w:b/>
          <w:bCs/>
          <w:sz w:val="24"/>
          <w:szCs w:val="24"/>
        </w:rPr>
        <w:t>（一）通过国内合</w:t>
      </w:r>
      <w:proofErr w:type="gramStart"/>
      <w:r w:rsidRPr="00420924">
        <w:rPr>
          <w:rFonts w:ascii="仿宋" w:eastAsia="仿宋" w:hAnsi="仿宋"/>
          <w:b/>
          <w:bCs/>
          <w:sz w:val="24"/>
          <w:szCs w:val="24"/>
        </w:rPr>
        <w:t>规</w:t>
      </w:r>
      <w:proofErr w:type="gramEnd"/>
      <w:r w:rsidRPr="00420924">
        <w:rPr>
          <w:rFonts w:ascii="仿宋" w:eastAsia="仿宋" w:hAnsi="仿宋"/>
          <w:b/>
          <w:bCs/>
          <w:sz w:val="24"/>
          <w:szCs w:val="24"/>
        </w:rPr>
        <w:t>金融机构参与</w:t>
      </w:r>
    </w:p>
    <w:p w14:paraId="5D06FA99" w14:textId="6E7515D0" w:rsidR="00420924" w:rsidRPr="00420924" w:rsidRDefault="00420924" w:rsidP="00420924">
      <w:pPr>
        <w:ind w:firstLineChars="200" w:firstLine="480"/>
        <w:rPr>
          <w:rFonts w:ascii="仿宋" w:eastAsia="仿宋" w:hAnsi="仿宋"/>
          <w:sz w:val="24"/>
          <w:szCs w:val="24"/>
        </w:rPr>
      </w:pPr>
    </w:p>
    <w:p w14:paraId="017E2A33" w14:textId="5D233717" w:rsidR="00420924" w:rsidRPr="00420924" w:rsidRDefault="00420924" w:rsidP="00420924">
      <w:pPr>
        <w:ind w:firstLineChars="200" w:firstLine="480"/>
        <w:rPr>
          <w:rFonts w:ascii="仿宋" w:eastAsia="仿宋" w:hAnsi="仿宋" w:hint="eastAsia"/>
          <w:sz w:val="24"/>
          <w:szCs w:val="24"/>
        </w:rPr>
      </w:pPr>
      <w:r w:rsidRPr="00420924">
        <w:rPr>
          <w:rFonts w:ascii="仿宋" w:eastAsia="仿宋" w:hAnsi="仿宋"/>
          <w:sz w:val="24"/>
          <w:szCs w:val="24"/>
        </w:rPr>
        <w:lastRenderedPageBreak/>
        <w:t>中国内地居民参与RWA投资的首要合</w:t>
      </w:r>
      <w:proofErr w:type="gramStart"/>
      <w:r w:rsidRPr="00420924">
        <w:rPr>
          <w:rFonts w:ascii="仿宋" w:eastAsia="仿宋" w:hAnsi="仿宋"/>
          <w:sz w:val="24"/>
          <w:szCs w:val="24"/>
        </w:rPr>
        <w:t>规</w:t>
      </w:r>
      <w:proofErr w:type="gramEnd"/>
      <w:r w:rsidRPr="00420924">
        <w:rPr>
          <w:rFonts w:ascii="仿宋" w:eastAsia="仿宋" w:hAnsi="仿宋"/>
          <w:sz w:val="24"/>
          <w:szCs w:val="24"/>
        </w:rPr>
        <w:t>渠道是通过持牌金融机构提供的相关产品。目前主要的参与方式包括：</w:t>
      </w:r>
    </w:p>
    <w:p w14:paraId="1BBA7F40" w14:textId="07439B6A" w:rsidR="00420924" w:rsidRPr="00420924" w:rsidRDefault="00420924" w:rsidP="00420924">
      <w:pPr>
        <w:ind w:firstLineChars="200" w:firstLine="480"/>
        <w:rPr>
          <w:rFonts w:ascii="仿宋" w:eastAsia="仿宋" w:hAnsi="仿宋" w:hint="eastAsia"/>
          <w:sz w:val="24"/>
          <w:szCs w:val="24"/>
        </w:rPr>
      </w:pPr>
      <w:r w:rsidRPr="00420924">
        <w:rPr>
          <w:rFonts w:ascii="仿宋" w:eastAsia="仿宋" w:hAnsi="仿宋"/>
          <w:sz w:val="24"/>
          <w:szCs w:val="24"/>
        </w:rPr>
        <w:t>第一，QDII（合格境内机构投资者）渠道。目前，中国证监会批准的QDII基金中，已有部分产品开始配置海外RWA资产。例如，某基金推出的“全球数字资产配置基金”将最多将10%的</w:t>
      </w:r>
      <w:proofErr w:type="gramStart"/>
      <w:r w:rsidRPr="00420924">
        <w:rPr>
          <w:rFonts w:ascii="仿宋" w:eastAsia="仿宋" w:hAnsi="仿宋"/>
          <w:sz w:val="24"/>
          <w:szCs w:val="24"/>
        </w:rPr>
        <w:t>仓位</w:t>
      </w:r>
      <w:proofErr w:type="gramEnd"/>
      <w:r w:rsidRPr="00420924">
        <w:rPr>
          <w:rFonts w:ascii="仿宋" w:eastAsia="仿宋" w:hAnsi="仿宋"/>
          <w:sz w:val="24"/>
          <w:szCs w:val="24"/>
        </w:rPr>
        <w:t>投资于合</w:t>
      </w:r>
      <w:proofErr w:type="gramStart"/>
      <w:r w:rsidRPr="00420924">
        <w:rPr>
          <w:rFonts w:ascii="仿宋" w:eastAsia="仿宋" w:hAnsi="仿宋"/>
          <w:sz w:val="24"/>
          <w:szCs w:val="24"/>
        </w:rPr>
        <w:t>规</w:t>
      </w:r>
      <w:proofErr w:type="gramEnd"/>
      <w:r w:rsidRPr="00420924">
        <w:rPr>
          <w:rFonts w:ascii="仿宋" w:eastAsia="仿宋" w:hAnsi="仿宋"/>
          <w:sz w:val="24"/>
          <w:szCs w:val="24"/>
        </w:rPr>
        <w:t>的房地产代币产品。投资者可通过证券账户直接认购这些公</w:t>
      </w:r>
      <w:proofErr w:type="gramStart"/>
      <w:r w:rsidRPr="00420924">
        <w:rPr>
          <w:rFonts w:ascii="仿宋" w:eastAsia="仿宋" w:hAnsi="仿宋"/>
          <w:sz w:val="24"/>
          <w:szCs w:val="24"/>
        </w:rPr>
        <w:t>募基金</w:t>
      </w:r>
      <w:proofErr w:type="gramEnd"/>
      <w:r w:rsidRPr="00420924">
        <w:rPr>
          <w:rFonts w:ascii="仿宋" w:eastAsia="仿宋" w:hAnsi="仿宋"/>
          <w:sz w:val="24"/>
          <w:szCs w:val="24"/>
        </w:rPr>
        <w:t>产品。</w:t>
      </w:r>
    </w:p>
    <w:p w14:paraId="76E17093" w14:textId="748CD0D9" w:rsidR="00420924" w:rsidRPr="00420924" w:rsidRDefault="00420924" w:rsidP="00420924">
      <w:pPr>
        <w:ind w:firstLineChars="200" w:firstLine="480"/>
        <w:rPr>
          <w:rFonts w:ascii="仿宋" w:eastAsia="仿宋" w:hAnsi="仿宋" w:hint="eastAsia"/>
          <w:sz w:val="24"/>
          <w:szCs w:val="24"/>
        </w:rPr>
      </w:pPr>
      <w:r w:rsidRPr="00420924">
        <w:rPr>
          <w:rFonts w:ascii="仿宋" w:eastAsia="仿宋" w:hAnsi="仿宋"/>
          <w:sz w:val="24"/>
          <w:szCs w:val="24"/>
        </w:rPr>
        <w:t>第二，商业银行结构性理财产品。部分国有大行和股份制银行推出了挂钩RWA的理财产品。如某银行推出黄金代币化产品，直接锚定伦敦金银市场协会认证的金条，提供T+0的申购赎回服务。</w:t>
      </w:r>
    </w:p>
    <w:p w14:paraId="41A8C145" w14:textId="77777777" w:rsidR="00420924" w:rsidRPr="00420924" w:rsidRDefault="00420924" w:rsidP="00420924">
      <w:pPr>
        <w:ind w:firstLineChars="200" w:firstLine="480"/>
        <w:rPr>
          <w:rFonts w:ascii="仿宋" w:eastAsia="仿宋" w:hAnsi="仿宋"/>
          <w:sz w:val="24"/>
          <w:szCs w:val="24"/>
        </w:rPr>
      </w:pPr>
      <w:r w:rsidRPr="00420924">
        <w:rPr>
          <w:rFonts w:ascii="仿宋" w:eastAsia="仿宋" w:hAnsi="仿宋"/>
          <w:sz w:val="24"/>
          <w:szCs w:val="24"/>
        </w:rPr>
        <w:t>第三，证券公司收益凭证。部分头部券商开始试点发行与RWA挂钩的收益凭证。某证券推出的“区块链资产支持专项计划”，底层资产包含合</w:t>
      </w:r>
      <w:proofErr w:type="gramStart"/>
      <w:r w:rsidRPr="00420924">
        <w:rPr>
          <w:rFonts w:ascii="仿宋" w:eastAsia="仿宋" w:hAnsi="仿宋"/>
          <w:sz w:val="24"/>
          <w:szCs w:val="24"/>
        </w:rPr>
        <w:t>规</w:t>
      </w:r>
      <w:proofErr w:type="gramEnd"/>
      <w:r w:rsidRPr="00420924">
        <w:rPr>
          <w:rFonts w:ascii="仿宋" w:eastAsia="仿宋" w:hAnsi="仿宋"/>
          <w:sz w:val="24"/>
          <w:szCs w:val="24"/>
        </w:rPr>
        <w:t>平台的商业地产代币，最低认购门槛为100万元人民币。</w:t>
      </w:r>
    </w:p>
    <w:p w14:paraId="020B564D" w14:textId="5934FB2F" w:rsidR="00420924" w:rsidRPr="00420924" w:rsidRDefault="00420924" w:rsidP="00420924">
      <w:pPr>
        <w:rPr>
          <w:rFonts w:ascii="仿宋" w:eastAsia="仿宋" w:hAnsi="仿宋"/>
          <w:sz w:val="24"/>
          <w:szCs w:val="24"/>
        </w:rPr>
      </w:pPr>
    </w:p>
    <w:p w14:paraId="07FA8079" w14:textId="77777777" w:rsidR="00420924" w:rsidRPr="00420924" w:rsidRDefault="00420924" w:rsidP="00420924">
      <w:pPr>
        <w:ind w:firstLineChars="200" w:firstLine="482"/>
        <w:rPr>
          <w:rFonts w:ascii="仿宋" w:eastAsia="仿宋" w:hAnsi="仿宋"/>
          <w:sz w:val="24"/>
          <w:szCs w:val="24"/>
        </w:rPr>
      </w:pPr>
      <w:r w:rsidRPr="00420924">
        <w:rPr>
          <w:rFonts w:ascii="仿宋" w:eastAsia="仿宋" w:hAnsi="仿宋"/>
          <w:b/>
          <w:bCs/>
          <w:sz w:val="24"/>
          <w:szCs w:val="24"/>
        </w:rPr>
        <w:t>（二）利用跨境合</w:t>
      </w:r>
      <w:proofErr w:type="gramStart"/>
      <w:r w:rsidRPr="00420924">
        <w:rPr>
          <w:rFonts w:ascii="仿宋" w:eastAsia="仿宋" w:hAnsi="仿宋"/>
          <w:b/>
          <w:bCs/>
          <w:sz w:val="24"/>
          <w:szCs w:val="24"/>
        </w:rPr>
        <w:t>规</w:t>
      </w:r>
      <w:proofErr w:type="gramEnd"/>
      <w:r w:rsidRPr="00420924">
        <w:rPr>
          <w:rFonts w:ascii="仿宋" w:eastAsia="仿宋" w:hAnsi="仿宋"/>
          <w:b/>
          <w:bCs/>
          <w:sz w:val="24"/>
          <w:szCs w:val="24"/>
        </w:rPr>
        <w:t>平台投资</w:t>
      </w:r>
    </w:p>
    <w:p w14:paraId="301F53CA" w14:textId="609518B5" w:rsidR="00420924" w:rsidRPr="00420924" w:rsidRDefault="00420924" w:rsidP="00420924">
      <w:pPr>
        <w:ind w:firstLineChars="200" w:firstLine="480"/>
        <w:rPr>
          <w:rFonts w:ascii="仿宋" w:eastAsia="仿宋" w:hAnsi="仿宋"/>
          <w:sz w:val="24"/>
          <w:szCs w:val="24"/>
        </w:rPr>
      </w:pPr>
    </w:p>
    <w:p w14:paraId="3CDE2ED6" w14:textId="77777777" w:rsidR="00420924" w:rsidRPr="00420924" w:rsidRDefault="00420924" w:rsidP="00420924">
      <w:pPr>
        <w:ind w:firstLineChars="200" w:firstLine="480"/>
        <w:rPr>
          <w:rFonts w:ascii="仿宋" w:eastAsia="仿宋" w:hAnsi="仿宋"/>
          <w:sz w:val="24"/>
          <w:szCs w:val="24"/>
        </w:rPr>
      </w:pPr>
      <w:r w:rsidRPr="00420924">
        <w:rPr>
          <w:rFonts w:ascii="仿宋" w:eastAsia="仿宋" w:hAnsi="仿宋"/>
          <w:sz w:val="24"/>
          <w:szCs w:val="24"/>
        </w:rPr>
        <w:t>对于希望直接参与全球RWA市场的投资者，香港和新加坡的合</w:t>
      </w:r>
      <w:proofErr w:type="gramStart"/>
      <w:r w:rsidRPr="00420924">
        <w:rPr>
          <w:rFonts w:ascii="仿宋" w:eastAsia="仿宋" w:hAnsi="仿宋"/>
          <w:sz w:val="24"/>
          <w:szCs w:val="24"/>
        </w:rPr>
        <w:t>规</w:t>
      </w:r>
      <w:proofErr w:type="gramEnd"/>
      <w:r w:rsidRPr="00420924">
        <w:rPr>
          <w:rFonts w:ascii="仿宋" w:eastAsia="仿宋" w:hAnsi="仿宋"/>
          <w:sz w:val="24"/>
          <w:szCs w:val="24"/>
        </w:rPr>
        <w:t>平台提供了可行路径：</w:t>
      </w:r>
    </w:p>
    <w:p w14:paraId="32B796C1" w14:textId="52E1C167" w:rsidR="00420924" w:rsidRPr="00420924" w:rsidRDefault="00420924" w:rsidP="00420924">
      <w:pPr>
        <w:rPr>
          <w:rFonts w:ascii="仿宋" w:eastAsia="仿宋" w:hAnsi="仿宋"/>
          <w:sz w:val="24"/>
          <w:szCs w:val="24"/>
        </w:rPr>
      </w:pPr>
    </w:p>
    <w:p w14:paraId="72BB1698" w14:textId="7A41006B" w:rsidR="00420924" w:rsidRPr="00420924" w:rsidRDefault="00420924" w:rsidP="00420924">
      <w:pPr>
        <w:pStyle w:val="a9"/>
        <w:numPr>
          <w:ilvl w:val="0"/>
          <w:numId w:val="1"/>
        </w:numPr>
        <w:rPr>
          <w:rFonts w:ascii="仿宋" w:eastAsia="仿宋" w:hAnsi="仿宋"/>
          <w:sz w:val="24"/>
          <w:szCs w:val="24"/>
        </w:rPr>
      </w:pPr>
      <w:r w:rsidRPr="00420924">
        <w:rPr>
          <w:rFonts w:ascii="仿宋" w:eastAsia="仿宋" w:hAnsi="仿宋"/>
          <w:sz w:val="24"/>
          <w:szCs w:val="24"/>
        </w:rPr>
        <w:t>香港持牌交易所：香港证监会(SFC)已向OSL、</w:t>
      </w:r>
      <w:proofErr w:type="spellStart"/>
      <w:r w:rsidRPr="00420924">
        <w:rPr>
          <w:rFonts w:ascii="仿宋" w:eastAsia="仿宋" w:hAnsi="仿宋"/>
          <w:sz w:val="24"/>
          <w:szCs w:val="24"/>
        </w:rPr>
        <w:t>HashKey</w:t>
      </w:r>
      <w:proofErr w:type="spellEnd"/>
      <w:r w:rsidRPr="00420924">
        <w:rPr>
          <w:rFonts w:ascii="仿宋" w:eastAsia="仿宋" w:hAnsi="仿宋"/>
          <w:sz w:val="24"/>
          <w:szCs w:val="24"/>
        </w:rPr>
        <w:t>等平台颁发虚拟资产交易牌照。这些平台提供经过严格审查的证券型代币(STO)，如房地产投资基金代币、企业债券代币等。内地居民可通过“跨境理财通”南向通渠道，在年度5万美元外汇额度内进行投资。</w:t>
      </w:r>
    </w:p>
    <w:p w14:paraId="50522422" w14:textId="77777777" w:rsidR="00420924" w:rsidRPr="00420924" w:rsidRDefault="00420924" w:rsidP="00420924">
      <w:pPr>
        <w:pStyle w:val="a9"/>
        <w:numPr>
          <w:ilvl w:val="0"/>
          <w:numId w:val="1"/>
        </w:numPr>
        <w:rPr>
          <w:rFonts w:ascii="仿宋" w:eastAsia="仿宋" w:hAnsi="仿宋" w:hint="eastAsia"/>
          <w:sz w:val="24"/>
          <w:szCs w:val="24"/>
        </w:rPr>
      </w:pPr>
    </w:p>
    <w:p w14:paraId="0E5EBB29" w14:textId="77777777" w:rsidR="00420924" w:rsidRPr="00420924" w:rsidRDefault="00420924" w:rsidP="00420924">
      <w:pPr>
        <w:ind w:firstLineChars="200" w:firstLine="480"/>
        <w:rPr>
          <w:rFonts w:ascii="仿宋" w:eastAsia="仿宋" w:hAnsi="仿宋"/>
          <w:sz w:val="24"/>
          <w:szCs w:val="24"/>
        </w:rPr>
      </w:pPr>
      <w:r w:rsidRPr="00420924">
        <w:rPr>
          <w:rFonts w:ascii="仿宋" w:eastAsia="仿宋" w:hAnsi="仿宋"/>
          <w:sz w:val="24"/>
          <w:szCs w:val="24"/>
        </w:rPr>
        <w:t>2.新加坡合</w:t>
      </w:r>
      <w:proofErr w:type="gramStart"/>
      <w:r w:rsidRPr="00420924">
        <w:rPr>
          <w:rFonts w:ascii="仿宋" w:eastAsia="仿宋" w:hAnsi="仿宋"/>
          <w:sz w:val="24"/>
          <w:szCs w:val="24"/>
        </w:rPr>
        <w:t>规</w:t>
      </w:r>
      <w:proofErr w:type="gramEnd"/>
      <w:r w:rsidRPr="00420924">
        <w:rPr>
          <w:rFonts w:ascii="仿宋" w:eastAsia="仿宋" w:hAnsi="仿宋"/>
          <w:sz w:val="24"/>
          <w:szCs w:val="24"/>
        </w:rPr>
        <w:t>平台：新加坡金融管理局(MAS)监管的ADDX、</w:t>
      </w:r>
      <w:proofErr w:type="spellStart"/>
      <w:r w:rsidRPr="00420924">
        <w:rPr>
          <w:rFonts w:ascii="仿宋" w:eastAsia="仿宋" w:hAnsi="仿宋"/>
          <w:sz w:val="24"/>
          <w:szCs w:val="24"/>
        </w:rPr>
        <w:t>FundConnect</w:t>
      </w:r>
      <w:proofErr w:type="spellEnd"/>
      <w:r w:rsidRPr="00420924">
        <w:rPr>
          <w:rFonts w:ascii="仿宋" w:eastAsia="仿宋" w:hAnsi="仿宋"/>
          <w:sz w:val="24"/>
          <w:szCs w:val="24"/>
        </w:rPr>
        <w:t>等平台提供</w:t>
      </w:r>
      <w:proofErr w:type="gramStart"/>
      <w:r w:rsidRPr="00420924">
        <w:rPr>
          <w:rFonts w:ascii="仿宋" w:eastAsia="仿宋" w:hAnsi="仿宋"/>
          <w:sz w:val="24"/>
          <w:szCs w:val="24"/>
        </w:rPr>
        <w:t>机构级</w:t>
      </w:r>
      <w:proofErr w:type="gramEnd"/>
      <w:r w:rsidRPr="00420924">
        <w:rPr>
          <w:rFonts w:ascii="仿宋" w:eastAsia="仿宋" w:hAnsi="仿宋"/>
          <w:sz w:val="24"/>
          <w:szCs w:val="24"/>
        </w:rPr>
        <w:t>的RWA投资服务。这些平台支持包括私募股权、对冲基金、基础设施债权等多种代币化资产，最低投资门槛通常为2万新元（约合10万元人民币）。</w:t>
      </w:r>
    </w:p>
    <w:p w14:paraId="633EC3C6" w14:textId="7F828E59" w:rsidR="00420924" w:rsidRPr="00420924" w:rsidRDefault="00420924" w:rsidP="00420924">
      <w:pPr>
        <w:ind w:firstLineChars="200" w:firstLine="480"/>
        <w:rPr>
          <w:rFonts w:ascii="仿宋" w:eastAsia="仿宋" w:hAnsi="仿宋"/>
          <w:sz w:val="24"/>
          <w:szCs w:val="24"/>
        </w:rPr>
      </w:pPr>
    </w:p>
    <w:p w14:paraId="79E95F63" w14:textId="77777777" w:rsidR="00420924" w:rsidRPr="00420924" w:rsidRDefault="00420924" w:rsidP="00420924">
      <w:pPr>
        <w:ind w:firstLineChars="200" w:firstLine="480"/>
        <w:rPr>
          <w:rFonts w:ascii="仿宋" w:eastAsia="仿宋" w:hAnsi="仿宋"/>
          <w:sz w:val="24"/>
          <w:szCs w:val="24"/>
        </w:rPr>
      </w:pPr>
      <w:r w:rsidRPr="00420924">
        <w:rPr>
          <w:rFonts w:ascii="仿宋" w:eastAsia="仿宋" w:hAnsi="仿宋"/>
          <w:sz w:val="24"/>
          <w:szCs w:val="24"/>
        </w:rPr>
        <w:t>3.离岸家族信托架构：高净值投资者可通过设立离岸家族信托，由专业受托人代为配置全球RWA资产。这种架构既能确保合</w:t>
      </w:r>
      <w:proofErr w:type="gramStart"/>
      <w:r w:rsidRPr="00420924">
        <w:rPr>
          <w:rFonts w:ascii="仿宋" w:eastAsia="仿宋" w:hAnsi="仿宋"/>
          <w:sz w:val="24"/>
          <w:szCs w:val="24"/>
        </w:rPr>
        <w:t>规</w:t>
      </w:r>
      <w:proofErr w:type="gramEnd"/>
      <w:r w:rsidRPr="00420924">
        <w:rPr>
          <w:rFonts w:ascii="仿宋" w:eastAsia="仿宋" w:hAnsi="仿宋"/>
          <w:sz w:val="24"/>
          <w:szCs w:val="24"/>
        </w:rPr>
        <w:t>性，又能实现税务优化。目前开曼群岛、BVI等离岸金融中心均已出台明确的数字资产信托监管框架。</w:t>
      </w:r>
    </w:p>
    <w:p w14:paraId="08FD5EB7" w14:textId="2587F4B7" w:rsidR="00420924" w:rsidRPr="00420924" w:rsidRDefault="00420924" w:rsidP="00420924">
      <w:pPr>
        <w:ind w:firstLineChars="200" w:firstLine="480"/>
        <w:rPr>
          <w:rFonts w:ascii="仿宋" w:eastAsia="仿宋" w:hAnsi="仿宋"/>
          <w:sz w:val="24"/>
          <w:szCs w:val="24"/>
        </w:rPr>
      </w:pPr>
    </w:p>
    <w:p w14:paraId="7B274ECB" w14:textId="77777777" w:rsidR="00420924" w:rsidRPr="00420924" w:rsidRDefault="00420924" w:rsidP="00420924">
      <w:pPr>
        <w:ind w:firstLineChars="200" w:firstLine="482"/>
        <w:rPr>
          <w:rFonts w:ascii="仿宋" w:eastAsia="仿宋" w:hAnsi="仿宋"/>
          <w:sz w:val="24"/>
          <w:szCs w:val="24"/>
        </w:rPr>
      </w:pPr>
      <w:r w:rsidRPr="00420924">
        <w:rPr>
          <w:rFonts w:ascii="仿宋" w:eastAsia="仿宋" w:hAnsi="仿宋"/>
          <w:b/>
          <w:bCs/>
          <w:sz w:val="24"/>
          <w:szCs w:val="24"/>
        </w:rPr>
        <w:t>（三）投资RWA的注意事项</w:t>
      </w:r>
    </w:p>
    <w:p w14:paraId="2E06CA6B" w14:textId="6BC3CD2C" w:rsidR="00420924" w:rsidRPr="00420924" w:rsidRDefault="00420924" w:rsidP="00420924">
      <w:pPr>
        <w:ind w:firstLineChars="200" w:firstLine="480"/>
        <w:rPr>
          <w:rFonts w:ascii="仿宋" w:eastAsia="仿宋" w:hAnsi="仿宋"/>
          <w:sz w:val="24"/>
          <w:szCs w:val="24"/>
        </w:rPr>
      </w:pPr>
    </w:p>
    <w:p w14:paraId="55902A56" w14:textId="77777777" w:rsidR="00420924" w:rsidRPr="00420924" w:rsidRDefault="00420924" w:rsidP="00420924">
      <w:pPr>
        <w:ind w:firstLineChars="200" w:firstLine="482"/>
        <w:rPr>
          <w:rFonts w:ascii="仿宋" w:eastAsia="仿宋" w:hAnsi="仿宋"/>
          <w:sz w:val="24"/>
          <w:szCs w:val="24"/>
        </w:rPr>
      </w:pPr>
      <w:r w:rsidRPr="00420924">
        <w:rPr>
          <w:rFonts w:ascii="仿宋" w:eastAsia="仿宋" w:hAnsi="仿宋"/>
          <w:b/>
          <w:bCs/>
          <w:sz w:val="24"/>
          <w:szCs w:val="24"/>
        </w:rPr>
        <w:t>1.法律合</w:t>
      </w:r>
      <w:proofErr w:type="gramStart"/>
      <w:r w:rsidRPr="00420924">
        <w:rPr>
          <w:rFonts w:ascii="仿宋" w:eastAsia="仿宋" w:hAnsi="仿宋"/>
          <w:b/>
          <w:bCs/>
          <w:sz w:val="24"/>
          <w:szCs w:val="24"/>
        </w:rPr>
        <w:t>规</w:t>
      </w:r>
      <w:proofErr w:type="gramEnd"/>
      <w:r w:rsidRPr="00420924">
        <w:rPr>
          <w:rFonts w:ascii="仿宋" w:eastAsia="仿宋" w:hAnsi="仿宋"/>
          <w:b/>
          <w:bCs/>
          <w:sz w:val="24"/>
          <w:szCs w:val="24"/>
        </w:rPr>
        <w:t>性审查</w:t>
      </w:r>
    </w:p>
    <w:p w14:paraId="16B4F951" w14:textId="51A2EFC5" w:rsidR="00420924" w:rsidRPr="00420924" w:rsidRDefault="00420924" w:rsidP="00420924">
      <w:pPr>
        <w:ind w:firstLineChars="200" w:firstLine="480"/>
        <w:rPr>
          <w:rFonts w:ascii="仿宋" w:eastAsia="仿宋" w:hAnsi="仿宋"/>
          <w:sz w:val="24"/>
          <w:szCs w:val="24"/>
        </w:rPr>
      </w:pPr>
    </w:p>
    <w:p w14:paraId="37CD4442" w14:textId="77777777" w:rsidR="00420924" w:rsidRPr="00420924" w:rsidRDefault="00420924" w:rsidP="00420924">
      <w:pPr>
        <w:ind w:firstLineChars="200" w:firstLine="480"/>
        <w:rPr>
          <w:rFonts w:ascii="仿宋" w:eastAsia="仿宋" w:hAnsi="仿宋"/>
          <w:sz w:val="24"/>
          <w:szCs w:val="24"/>
        </w:rPr>
      </w:pPr>
      <w:r w:rsidRPr="00420924">
        <w:rPr>
          <w:rFonts w:ascii="仿宋" w:eastAsia="仿宋" w:hAnsi="仿宋"/>
          <w:sz w:val="24"/>
          <w:szCs w:val="24"/>
        </w:rPr>
        <w:t>参与RWA投资的过程中，法律合</w:t>
      </w:r>
      <w:proofErr w:type="gramStart"/>
      <w:r w:rsidRPr="00420924">
        <w:rPr>
          <w:rFonts w:ascii="仿宋" w:eastAsia="仿宋" w:hAnsi="仿宋"/>
          <w:sz w:val="24"/>
          <w:szCs w:val="24"/>
        </w:rPr>
        <w:t>规</w:t>
      </w:r>
      <w:proofErr w:type="gramEnd"/>
      <w:r w:rsidRPr="00420924">
        <w:rPr>
          <w:rFonts w:ascii="仿宋" w:eastAsia="仿宋" w:hAnsi="仿宋"/>
          <w:sz w:val="24"/>
          <w:szCs w:val="24"/>
        </w:rPr>
        <w:t>性审查对于投资者来说十分重要。投资者应对发行主体的资质进行严格审查，确认开展相关业务所需的金融牌照的资质和有效性。在美国市场发行方需获得SEC的Reg D豁免资格，在香港地区需持有SFC颁发的Type1（证券交易）和Type 4（就证券提供意见）牌照。此外，合</w:t>
      </w:r>
      <w:proofErr w:type="gramStart"/>
      <w:r w:rsidRPr="00420924">
        <w:rPr>
          <w:rFonts w:ascii="仿宋" w:eastAsia="仿宋" w:hAnsi="仿宋"/>
          <w:sz w:val="24"/>
          <w:szCs w:val="24"/>
        </w:rPr>
        <w:t>规</w:t>
      </w:r>
      <w:proofErr w:type="gramEnd"/>
      <w:r w:rsidRPr="00420924">
        <w:rPr>
          <w:rFonts w:ascii="仿宋" w:eastAsia="仿宋" w:hAnsi="仿宋"/>
          <w:sz w:val="24"/>
          <w:szCs w:val="24"/>
        </w:rPr>
        <w:t>的RWA项目应披露完善的资产托管安排，通常由Brink's、HSBC等专业托管机构提供第三方托管服务。多数司法辖区对RWA投资者同样设置了严格的适当性要求，例如香港证监会规定证券型代币的投资者必须证明其拥有不少于800万港币的资产规模，其目的在于更好地保护投资者权益并维护市场稳定。</w:t>
      </w:r>
    </w:p>
    <w:p w14:paraId="58C07BC8" w14:textId="72D529DC" w:rsidR="00420924" w:rsidRPr="00420924" w:rsidRDefault="00420924" w:rsidP="00420924">
      <w:pPr>
        <w:ind w:firstLineChars="200" w:firstLine="480"/>
        <w:rPr>
          <w:rFonts w:ascii="仿宋" w:eastAsia="仿宋" w:hAnsi="仿宋"/>
          <w:sz w:val="24"/>
          <w:szCs w:val="24"/>
        </w:rPr>
      </w:pPr>
    </w:p>
    <w:p w14:paraId="6B597F65" w14:textId="77777777" w:rsidR="00420924" w:rsidRPr="00420924" w:rsidRDefault="00420924" w:rsidP="00420924">
      <w:pPr>
        <w:ind w:firstLineChars="200" w:firstLine="482"/>
        <w:rPr>
          <w:rFonts w:ascii="仿宋" w:eastAsia="仿宋" w:hAnsi="仿宋"/>
          <w:sz w:val="24"/>
          <w:szCs w:val="24"/>
        </w:rPr>
      </w:pPr>
      <w:r w:rsidRPr="00420924">
        <w:rPr>
          <w:rFonts w:ascii="仿宋" w:eastAsia="仿宋" w:hAnsi="仿宋"/>
          <w:b/>
          <w:bCs/>
          <w:sz w:val="24"/>
          <w:szCs w:val="24"/>
        </w:rPr>
        <w:t>2.风险管理要点</w:t>
      </w:r>
    </w:p>
    <w:p w14:paraId="63793A6E" w14:textId="76B3E031" w:rsidR="00420924" w:rsidRPr="00420924" w:rsidRDefault="00420924" w:rsidP="00420924">
      <w:pPr>
        <w:ind w:firstLineChars="200" w:firstLine="480"/>
        <w:rPr>
          <w:rFonts w:ascii="仿宋" w:eastAsia="仿宋" w:hAnsi="仿宋"/>
          <w:sz w:val="24"/>
          <w:szCs w:val="24"/>
        </w:rPr>
      </w:pPr>
    </w:p>
    <w:p w14:paraId="3CC367CD" w14:textId="77777777" w:rsidR="00420924" w:rsidRPr="00420924" w:rsidRDefault="00420924" w:rsidP="00420924">
      <w:pPr>
        <w:ind w:firstLineChars="200" w:firstLine="480"/>
        <w:rPr>
          <w:rFonts w:ascii="仿宋" w:eastAsia="仿宋" w:hAnsi="仿宋"/>
          <w:sz w:val="24"/>
          <w:szCs w:val="24"/>
        </w:rPr>
      </w:pPr>
      <w:r w:rsidRPr="00420924">
        <w:rPr>
          <w:rFonts w:ascii="仿宋" w:eastAsia="仿宋" w:hAnsi="仿宋"/>
          <w:sz w:val="24"/>
          <w:szCs w:val="24"/>
        </w:rPr>
        <w:t>RWA投资涉及了多维度风险，需要投资者建立全面的风险管理体系。在底层资产质量评估方面，不同类型的RWA产品需要关注差异化指标：对于房地产类资产，投资者应当重点考察房地产的出租率、租约期限和区位价值等核心指标；而对于债券类产品则需要去深入分析一下发行主体的信用评级和偿债能力；大宗商品类投资则必须核实实物储备的审计报告。技术风险防范同样不容忽视，合</w:t>
      </w:r>
      <w:proofErr w:type="gramStart"/>
      <w:r w:rsidRPr="00420924">
        <w:rPr>
          <w:rFonts w:ascii="仿宋" w:eastAsia="仿宋" w:hAnsi="仿宋"/>
          <w:sz w:val="24"/>
          <w:szCs w:val="24"/>
        </w:rPr>
        <w:t>规</w:t>
      </w:r>
      <w:proofErr w:type="gramEnd"/>
      <w:r w:rsidRPr="00420924">
        <w:rPr>
          <w:rFonts w:ascii="仿宋" w:eastAsia="仿宋" w:hAnsi="仿宋"/>
          <w:sz w:val="24"/>
          <w:szCs w:val="24"/>
        </w:rPr>
        <w:t>的RWA项目应当提供由</w:t>
      </w:r>
      <w:proofErr w:type="spellStart"/>
      <w:r w:rsidRPr="00420924">
        <w:rPr>
          <w:rFonts w:ascii="仿宋" w:eastAsia="仿宋" w:hAnsi="仿宋"/>
          <w:sz w:val="24"/>
          <w:szCs w:val="24"/>
        </w:rPr>
        <w:t>CertiK</w:t>
      </w:r>
      <w:proofErr w:type="spellEnd"/>
      <w:r w:rsidRPr="00420924">
        <w:rPr>
          <w:rFonts w:ascii="仿宋" w:eastAsia="仿宋" w:hAnsi="仿宋"/>
          <w:sz w:val="24"/>
          <w:szCs w:val="24"/>
        </w:rPr>
        <w:t>、</w:t>
      </w:r>
      <w:proofErr w:type="spellStart"/>
      <w:r w:rsidRPr="00420924">
        <w:rPr>
          <w:rFonts w:ascii="仿宋" w:eastAsia="仿宋" w:hAnsi="仿宋"/>
          <w:sz w:val="24"/>
          <w:szCs w:val="24"/>
        </w:rPr>
        <w:t>SlowMist</w:t>
      </w:r>
      <w:proofErr w:type="spellEnd"/>
      <w:r w:rsidRPr="00420924">
        <w:rPr>
          <w:rFonts w:ascii="仿宋" w:eastAsia="仿宋" w:hAnsi="仿宋"/>
          <w:sz w:val="24"/>
          <w:szCs w:val="24"/>
        </w:rPr>
        <w:t>等多家头部审计机构联合审查，并采用MPC（多方计算）等的私</w:t>
      </w:r>
      <w:proofErr w:type="gramStart"/>
      <w:r w:rsidRPr="00420924">
        <w:rPr>
          <w:rFonts w:ascii="仿宋" w:eastAsia="仿宋" w:hAnsi="仿宋"/>
          <w:sz w:val="24"/>
          <w:szCs w:val="24"/>
        </w:rPr>
        <w:t>钥</w:t>
      </w:r>
      <w:proofErr w:type="gramEnd"/>
      <w:r w:rsidRPr="00420924">
        <w:rPr>
          <w:rFonts w:ascii="仿宋" w:eastAsia="仿宋" w:hAnsi="仿宋"/>
          <w:sz w:val="24"/>
          <w:szCs w:val="24"/>
        </w:rPr>
        <w:t>管理方案，同时建立包含冷钱包备份、多重签名等在内的恢复机制。至于流动性风险管理层面，投资者需要持续监测二级市场的深度，通过日成交量与流通市值的比率等指标来进行评估。</w:t>
      </w:r>
    </w:p>
    <w:p w14:paraId="2F71F525" w14:textId="6DACC0FE" w:rsidR="00420924" w:rsidRPr="00420924" w:rsidRDefault="00420924" w:rsidP="00420924">
      <w:pPr>
        <w:ind w:firstLineChars="200" w:firstLine="480"/>
        <w:rPr>
          <w:rFonts w:ascii="仿宋" w:eastAsia="仿宋" w:hAnsi="仿宋"/>
          <w:sz w:val="24"/>
          <w:szCs w:val="24"/>
        </w:rPr>
      </w:pPr>
    </w:p>
    <w:p w14:paraId="41D665D5" w14:textId="77777777" w:rsidR="00420924" w:rsidRPr="00420924" w:rsidRDefault="00420924" w:rsidP="00420924">
      <w:pPr>
        <w:ind w:firstLineChars="200" w:firstLine="482"/>
        <w:rPr>
          <w:rFonts w:ascii="仿宋" w:eastAsia="仿宋" w:hAnsi="仿宋"/>
          <w:sz w:val="24"/>
          <w:szCs w:val="24"/>
        </w:rPr>
      </w:pPr>
      <w:r w:rsidRPr="00420924">
        <w:rPr>
          <w:rFonts w:ascii="仿宋" w:eastAsia="仿宋" w:hAnsi="仿宋"/>
          <w:b/>
          <w:bCs/>
          <w:sz w:val="24"/>
          <w:szCs w:val="24"/>
        </w:rPr>
        <w:t>3.税务计划建议</w:t>
      </w:r>
    </w:p>
    <w:p w14:paraId="590D6A9A" w14:textId="1774C098" w:rsidR="00420924" w:rsidRPr="00420924" w:rsidRDefault="00420924" w:rsidP="00420924">
      <w:pPr>
        <w:ind w:firstLineChars="200" w:firstLine="480"/>
        <w:rPr>
          <w:rFonts w:ascii="仿宋" w:eastAsia="仿宋" w:hAnsi="仿宋"/>
          <w:sz w:val="24"/>
          <w:szCs w:val="24"/>
        </w:rPr>
      </w:pPr>
    </w:p>
    <w:p w14:paraId="72BF880F" w14:textId="77777777" w:rsidR="00420924" w:rsidRPr="00420924" w:rsidRDefault="00420924" w:rsidP="00420924">
      <w:pPr>
        <w:ind w:firstLineChars="200" w:firstLine="480"/>
        <w:rPr>
          <w:rFonts w:ascii="仿宋" w:eastAsia="仿宋" w:hAnsi="仿宋"/>
          <w:sz w:val="24"/>
          <w:szCs w:val="24"/>
        </w:rPr>
      </w:pPr>
      <w:r w:rsidRPr="00420924">
        <w:rPr>
          <w:rFonts w:ascii="仿宋" w:eastAsia="仿宋" w:hAnsi="仿宋"/>
          <w:sz w:val="24"/>
          <w:szCs w:val="24"/>
        </w:rPr>
        <w:t>就跨境RWA投资而言，这部分涉及了非常复杂的税务问题，所以投资者需要提前做好税务计划。从税种来看，不同司法辖区的税收政策存在显著差异：美国对非居民投资者的资本利得征收30%的预提税；欧盟地区对数字资产交易征收标准增值税；部分国家还将数字资产纳入应税遗产范围。为有效应对这些税务挑战，建议投资者采取以下策略：首先，应当完整保存所有交易记录，包括链上交易哈希等区块链特有的交易凭证；其次，可以合理利用双边税收协定提供的优惠条款；最后，在严格遵守法律法规的前提下，高净值投资者可以考虑通过设立离岸架构来持有数字资产，但需要注意相关架构必须具有相应的商业实质，以免被认定为是避税安排。</w:t>
      </w:r>
    </w:p>
    <w:p w14:paraId="38D399CA" w14:textId="750D457B" w:rsidR="00420924" w:rsidRPr="00420924" w:rsidRDefault="00420924" w:rsidP="00420924">
      <w:pPr>
        <w:ind w:firstLineChars="200" w:firstLine="480"/>
        <w:rPr>
          <w:rFonts w:ascii="仿宋" w:eastAsia="仿宋" w:hAnsi="仿宋"/>
          <w:sz w:val="24"/>
          <w:szCs w:val="24"/>
        </w:rPr>
      </w:pPr>
    </w:p>
    <w:p w14:paraId="28BFBB6B" w14:textId="77777777" w:rsidR="00420924" w:rsidRPr="00420924" w:rsidRDefault="00420924" w:rsidP="00420924">
      <w:pPr>
        <w:ind w:firstLineChars="200" w:firstLine="482"/>
        <w:rPr>
          <w:rFonts w:ascii="仿宋" w:eastAsia="仿宋" w:hAnsi="仿宋"/>
          <w:sz w:val="24"/>
          <w:szCs w:val="24"/>
        </w:rPr>
      </w:pPr>
      <w:r w:rsidRPr="00420924">
        <w:rPr>
          <w:rFonts w:ascii="仿宋" w:eastAsia="仿宋" w:hAnsi="仿宋"/>
          <w:b/>
          <w:bCs/>
          <w:sz w:val="24"/>
          <w:szCs w:val="24"/>
        </w:rPr>
        <w:t>三、RWA 投资涉及的税务风险</w:t>
      </w:r>
    </w:p>
    <w:p w14:paraId="5E85B3F6" w14:textId="192F7DB7" w:rsidR="00420924" w:rsidRPr="00420924" w:rsidRDefault="00420924" w:rsidP="00420924">
      <w:pPr>
        <w:ind w:firstLineChars="200" w:firstLine="480"/>
        <w:rPr>
          <w:rFonts w:ascii="仿宋" w:eastAsia="仿宋" w:hAnsi="仿宋"/>
          <w:sz w:val="24"/>
          <w:szCs w:val="24"/>
        </w:rPr>
      </w:pPr>
    </w:p>
    <w:p w14:paraId="4A55D822" w14:textId="77777777" w:rsidR="00420924" w:rsidRPr="00420924" w:rsidRDefault="00420924" w:rsidP="00420924">
      <w:pPr>
        <w:ind w:firstLineChars="200" w:firstLine="482"/>
        <w:rPr>
          <w:rFonts w:ascii="仿宋" w:eastAsia="仿宋" w:hAnsi="仿宋"/>
          <w:sz w:val="24"/>
          <w:szCs w:val="24"/>
        </w:rPr>
      </w:pPr>
      <w:r w:rsidRPr="00420924">
        <w:rPr>
          <w:rFonts w:ascii="仿宋" w:eastAsia="仿宋" w:hAnsi="仿宋"/>
          <w:b/>
          <w:bCs/>
          <w:sz w:val="24"/>
          <w:szCs w:val="24"/>
        </w:rPr>
        <w:t>（一）RWA相关收益的个人所得税处理</w:t>
      </w:r>
    </w:p>
    <w:p w14:paraId="5A515C2D" w14:textId="4DF69D09" w:rsidR="00420924" w:rsidRPr="00420924" w:rsidRDefault="00420924" w:rsidP="00420924">
      <w:pPr>
        <w:ind w:firstLineChars="200" w:firstLine="480"/>
        <w:rPr>
          <w:rFonts w:ascii="仿宋" w:eastAsia="仿宋" w:hAnsi="仿宋"/>
          <w:sz w:val="24"/>
          <w:szCs w:val="24"/>
        </w:rPr>
      </w:pPr>
    </w:p>
    <w:p w14:paraId="7D46C0CA" w14:textId="7904D0EF" w:rsidR="00420924" w:rsidRPr="00420924" w:rsidRDefault="00420924" w:rsidP="00420924">
      <w:pPr>
        <w:ind w:firstLineChars="200" w:firstLine="480"/>
        <w:rPr>
          <w:rFonts w:ascii="仿宋" w:eastAsia="仿宋" w:hAnsi="仿宋" w:hint="eastAsia"/>
          <w:sz w:val="24"/>
          <w:szCs w:val="24"/>
        </w:rPr>
      </w:pPr>
      <w:r w:rsidRPr="00420924">
        <w:rPr>
          <w:rFonts w:ascii="仿宋" w:eastAsia="仿宋" w:hAnsi="仿宋"/>
          <w:sz w:val="24"/>
          <w:szCs w:val="24"/>
        </w:rPr>
        <w:t xml:space="preserve">根据我国税法规定，中国居民个人对于其境内外所得均负有纳税义务。这一法律规定意味着，无论RWA的发行地或持有地在何处，我国居民个人从中获取的任何收益理论上都需要申报缴纳个人所得税。对于股息、利息以及财产转让所得等这类的投资性所得，通常适用20%的比例税率。因此，由RWA投资产生的各类收益，如代币化债券的票息、代币化房地产的租金收入以及出售RWA代币的资本利得，大概率按此税率征税。 </w:t>
      </w:r>
      <w:r w:rsidRPr="00420924">
        <w:rPr>
          <w:rFonts w:ascii="Calibri" w:eastAsia="仿宋" w:hAnsi="Calibri" w:cs="Calibri"/>
          <w:sz w:val="24"/>
          <w:szCs w:val="24"/>
        </w:rPr>
        <w:t> </w:t>
      </w:r>
    </w:p>
    <w:p w14:paraId="3DAE2584" w14:textId="7936289B" w:rsidR="00420924" w:rsidRPr="00420924" w:rsidRDefault="00420924" w:rsidP="00420924">
      <w:pPr>
        <w:ind w:firstLineChars="200" w:firstLine="480"/>
        <w:rPr>
          <w:rFonts w:ascii="仿宋" w:eastAsia="仿宋" w:hAnsi="仿宋" w:hint="eastAsia"/>
          <w:sz w:val="24"/>
          <w:szCs w:val="24"/>
        </w:rPr>
      </w:pPr>
      <w:r w:rsidRPr="00420924">
        <w:rPr>
          <w:rFonts w:ascii="仿宋" w:eastAsia="仿宋" w:hAnsi="仿宋"/>
          <w:sz w:val="24"/>
          <w:szCs w:val="24"/>
        </w:rPr>
        <w:t>为避免双重征税，我国税法允许居民个人就其境外已缴纳的所得税款，抵免</w:t>
      </w:r>
      <w:proofErr w:type="gramStart"/>
      <w:r w:rsidRPr="00420924">
        <w:rPr>
          <w:rFonts w:ascii="仿宋" w:eastAsia="仿宋" w:hAnsi="仿宋"/>
          <w:sz w:val="24"/>
          <w:szCs w:val="24"/>
        </w:rPr>
        <w:t>其在境内应</w:t>
      </w:r>
      <w:proofErr w:type="gramEnd"/>
      <w:r w:rsidRPr="00420924">
        <w:rPr>
          <w:rFonts w:ascii="仿宋" w:eastAsia="仿宋" w:hAnsi="仿宋"/>
          <w:sz w:val="24"/>
          <w:szCs w:val="24"/>
        </w:rPr>
        <w:t>缴纳的同一笔所得的税额，但抵免额不得超过我国税法规定的该项所得的应纳税额。这意味着，如果中国居民在投资美国发行的RWA，并且在美国被预扣了税款，中国居民可以将这部分已缴税款用于抵扣在中国的应纳税额。但是RWA在所得类型的界定上具有模糊性等问题，例如，通过DeFi协议使用RWA作为抵押品所产生的收益，或质押RWA相关代币获得的奖励，其所得性质可能难以简单归入传统的“利息”“股息”或“资本利得”范畴。这种所得性质认定的不确定性，可能导致在适用税率和税务处理上的困惑，甚至可能需要未来税务机关出台更具体的解释或规定。</w:t>
      </w:r>
    </w:p>
    <w:p w14:paraId="5CE21484" w14:textId="77777777" w:rsidR="00420924" w:rsidRPr="00420924" w:rsidRDefault="00420924" w:rsidP="00420924">
      <w:pPr>
        <w:ind w:firstLineChars="200" w:firstLine="480"/>
        <w:rPr>
          <w:rFonts w:ascii="仿宋" w:eastAsia="仿宋" w:hAnsi="仿宋"/>
          <w:sz w:val="24"/>
          <w:szCs w:val="24"/>
        </w:rPr>
      </w:pPr>
      <w:r w:rsidRPr="00420924">
        <w:rPr>
          <w:rFonts w:ascii="仿宋" w:eastAsia="仿宋" w:hAnsi="仿宋"/>
          <w:sz w:val="24"/>
          <w:szCs w:val="24"/>
        </w:rPr>
        <w:lastRenderedPageBreak/>
        <w:t>此外，链上资产的成本基准追溯也是一大难题。由于 RWA 代币在区块链上可能经历多次碎片化转手，且缺乏统一</w:t>
      </w:r>
      <w:proofErr w:type="gramStart"/>
      <w:r w:rsidRPr="00420924">
        <w:rPr>
          <w:rFonts w:ascii="仿宋" w:eastAsia="仿宋" w:hAnsi="仿宋"/>
          <w:sz w:val="24"/>
          <w:szCs w:val="24"/>
        </w:rPr>
        <w:t>的链下权威</w:t>
      </w:r>
      <w:proofErr w:type="gramEnd"/>
      <w:r w:rsidRPr="00420924">
        <w:rPr>
          <w:rFonts w:ascii="仿宋" w:eastAsia="仿宋" w:hAnsi="仿宋"/>
          <w:sz w:val="24"/>
          <w:szCs w:val="24"/>
        </w:rPr>
        <w:t>记录，当税务机关进行核查时，可能会采用对投资者不利的核定方式，从而加重投资者的税负。例如，内地居民投资的某 RWA 项目代币，在多次交易流转后，难以准确确定初始成本，税务机关可能按照较高的核定成本计算资本利得，导致投资者实际缴纳的税款超出预期。</w:t>
      </w:r>
    </w:p>
    <w:p w14:paraId="6839E471" w14:textId="2DC0B6C0" w:rsidR="00420924" w:rsidRPr="00420924" w:rsidRDefault="00420924" w:rsidP="00420924">
      <w:pPr>
        <w:ind w:firstLineChars="200" w:firstLine="480"/>
        <w:rPr>
          <w:rFonts w:ascii="仿宋" w:eastAsia="仿宋" w:hAnsi="仿宋"/>
          <w:sz w:val="24"/>
          <w:szCs w:val="24"/>
        </w:rPr>
      </w:pPr>
    </w:p>
    <w:p w14:paraId="0FFDB0C0" w14:textId="77777777" w:rsidR="00420924" w:rsidRPr="00420924" w:rsidRDefault="00420924" w:rsidP="00420924">
      <w:pPr>
        <w:ind w:firstLineChars="200" w:firstLine="482"/>
        <w:rPr>
          <w:rFonts w:ascii="仿宋" w:eastAsia="仿宋" w:hAnsi="仿宋"/>
          <w:sz w:val="24"/>
          <w:szCs w:val="24"/>
        </w:rPr>
      </w:pPr>
      <w:r w:rsidRPr="00420924">
        <w:rPr>
          <w:rFonts w:ascii="仿宋" w:eastAsia="仿宋" w:hAnsi="仿宋"/>
          <w:b/>
          <w:bCs/>
          <w:sz w:val="24"/>
          <w:szCs w:val="24"/>
        </w:rPr>
        <w:t>（二）潜在的境外税务责任</w:t>
      </w:r>
    </w:p>
    <w:p w14:paraId="1272663B" w14:textId="552FA1B7" w:rsidR="00420924" w:rsidRPr="00420924" w:rsidRDefault="00420924" w:rsidP="00420924">
      <w:pPr>
        <w:ind w:firstLineChars="200" w:firstLine="480"/>
        <w:rPr>
          <w:rFonts w:ascii="仿宋" w:eastAsia="仿宋" w:hAnsi="仿宋"/>
          <w:sz w:val="24"/>
          <w:szCs w:val="24"/>
        </w:rPr>
      </w:pPr>
    </w:p>
    <w:p w14:paraId="329E71CA" w14:textId="1FA0041C" w:rsidR="00420924" w:rsidRPr="00420924" w:rsidRDefault="00420924" w:rsidP="00420924">
      <w:pPr>
        <w:ind w:firstLineChars="200" w:firstLine="480"/>
        <w:rPr>
          <w:rFonts w:ascii="仿宋" w:eastAsia="仿宋" w:hAnsi="仿宋" w:hint="eastAsia"/>
          <w:sz w:val="24"/>
          <w:szCs w:val="24"/>
        </w:rPr>
      </w:pPr>
      <w:r w:rsidRPr="00420924">
        <w:rPr>
          <w:rFonts w:ascii="仿宋" w:eastAsia="仿宋" w:hAnsi="仿宋"/>
          <w:sz w:val="24"/>
          <w:szCs w:val="24"/>
        </w:rPr>
        <w:t>对于美国发行的RWA，例如Ondo Finance（去中心化投资银行）的OUSG（短期美国国债</w:t>
      </w:r>
      <w:proofErr w:type="gramStart"/>
      <w:r w:rsidRPr="00420924">
        <w:rPr>
          <w:rFonts w:ascii="仿宋" w:eastAsia="仿宋" w:hAnsi="仿宋"/>
          <w:sz w:val="24"/>
          <w:szCs w:val="24"/>
        </w:rPr>
        <w:t>债</w:t>
      </w:r>
      <w:proofErr w:type="gramEnd"/>
      <w:r w:rsidRPr="00420924">
        <w:rPr>
          <w:rFonts w:ascii="仿宋" w:eastAsia="仿宋" w:hAnsi="仿宋"/>
          <w:sz w:val="24"/>
          <w:szCs w:val="24"/>
        </w:rPr>
        <w:t>代币），其基础资产就为美国国债，则在美国税务体系下被视为非居民外国人（NRA）。美国税务机关通常会对支付给NRA的来源于美国的投资收益，如股息和某些类型的利息，征收30%的预扣所得税。</w:t>
      </w:r>
    </w:p>
    <w:p w14:paraId="038011A0" w14:textId="77777777" w:rsidR="00420924" w:rsidRPr="00420924" w:rsidRDefault="00420924" w:rsidP="00420924">
      <w:pPr>
        <w:ind w:firstLineChars="200" w:firstLine="480"/>
        <w:rPr>
          <w:rFonts w:ascii="仿宋" w:eastAsia="仿宋" w:hAnsi="仿宋"/>
          <w:sz w:val="24"/>
          <w:szCs w:val="24"/>
        </w:rPr>
      </w:pPr>
      <w:r w:rsidRPr="00420924">
        <w:rPr>
          <w:rFonts w:ascii="仿宋" w:eastAsia="仿宋" w:hAnsi="仿宋"/>
          <w:sz w:val="24"/>
          <w:szCs w:val="24"/>
        </w:rPr>
        <w:t>税收协定可以</w:t>
      </w:r>
      <w:proofErr w:type="gramStart"/>
      <w:r w:rsidRPr="00420924">
        <w:rPr>
          <w:rFonts w:ascii="仿宋" w:eastAsia="仿宋" w:hAnsi="仿宋"/>
          <w:sz w:val="24"/>
          <w:szCs w:val="24"/>
        </w:rPr>
        <w:t>降低此预扣</w:t>
      </w:r>
      <w:proofErr w:type="gramEnd"/>
      <w:r w:rsidRPr="00420924">
        <w:rPr>
          <w:rFonts w:ascii="仿宋" w:eastAsia="仿宋" w:hAnsi="仿宋"/>
          <w:sz w:val="24"/>
          <w:szCs w:val="24"/>
        </w:rPr>
        <w:t>税率。中美之间签有税收协定，该协定可能对股息和利息的预扣税率有所减免。值得注意的是，RWA的法律结构及其收益的性质，可能会影响税收协定待遇的适用。例如，OUSG被描述为“有限合伙权益”，其投资于贝莱德的基金（BUIDL）和美国国债。从美国有限合伙企业向外国合伙人分配的收入，其美国税务处理可能较为复杂，不仅可能涉及对固定、可确定、年度或定期收入（FDAP）的预扣，还可能因合伙企业从事美国贸易或业务而产生与美国贸易或业务有效关联的收入（ECI）的税务问题。中美税收协定对此类结构分配的收益如何适用，需要仔细分析。收益是被视为直接来源于国债的利息，还是合伙企业/基金的分配，或其他性质？这种结构性差异会直接影响预扣税率及协定待遇的享受。</w:t>
      </w:r>
    </w:p>
    <w:p w14:paraId="6330E64A" w14:textId="58CA5C1E" w:rsidR="00420924" w:rsidRPr="00420924" w:rsidRDefault="00420924" w:rsidP="00420924">
      <w:pPr>
        <w:ind w:firstLineChars="200" w:firstLine="480"/>
        <w:rPr>
          <w:rFonts w:ascii="仿宋" w:eastAsia="仿宋" w:hAnsi="仿宋"/>
          <w:sz w:val="24"/>
          <w:szCs w:val="24"/>
        </w:rPr>
      </w:pPr>
    </w:p>
    <w:p w14:paraId="65FF8371" w14:textId="77777777" w:rsidR="00420924" w:rsidRPr="00420924" w:rsidRDefault="00420924" w:rsidP="00420924">
      <w:pPr>
        <w:ind w:firstLineChars="200" w:firstLine="482"/>
        <w:rPr>
          <w:rFonts w:ascii="仿宋" w:eastAsia="仿宋" w:hAnsi="仿宋"/>
          <w:sz w:val="24"/>
          <w:szCs w:val="24"/>
        </w:rPr>
      </w:pPr>
      <w:r w:rsidRPr="00420924">
        <w:rPr>
          <w:rFonts w:ascii="仿宋" w:eastAsia="仿宋" w:hAnsi="仿宋"/>
          <w:b/>
          <w:bCs/>
          <w:sz w:val="24"/>
          <w:szCs w:val="24"/>
        </w:rPr>
        <w:t>（三）共同申报准则（CRS）与金融账户透明化</w:t>
      </w:r>
    </w:p>
    <w:p w14:paraId="166268BC" w14:textId="663CE2B5" w:rsidR="00420924" w:rsidRPr="00420924" w:rsidRDefault="00420924" w:rsidP="00420924">
      <w:pPr>
        <w:ind w:firstLineChars="200" w:firstLine="480"/>
        <w:rPr>
          <w:rFonts w:ascii="仿宋" w:eastAsia="仿宋" w:hAnsi="仿宋"/>
          <w:sz w:val="24"/>
          <w:szCs w:val="24"/>
        </w:rPr>
      </w:pPr>
    </w:p>
    <w:p w14:paraId="5D6DF9FC" w14:textId="40D30289" w:rsidR="00420924" w:rsidRPr="00420924" w:rsidRDefault="00420924" w:rsidP="00420924">
      <w:pPr>
        <w:ind w:firstLineChars="200" w:firstLine="480"/>
        <w:rPr>
          <w:rFonts w:ascii="仿宋" w:eastAsia="仿宋" w:hAnsi="仿宋" w:hint="eastAsia"/>
          <w:sz w:val="24"/>
          <w:szCs w:val="24"/>
        </w:rPr>
      </w:pPr>
      <w:r w:rsidRPr="00420924">
        <w:rPr>
          <w:rFonts w:ascii="仿宋" w:eastAsia="仿宋" w:hAnsi="仿宋"/>
          <w:sz w:val="24"/>
          <w:szCs w:val="24"/>
        </w:rPr>
        <w:t>我国参与了经合组织（OECD）制定的共同申报准则（CRS），CRS的创立旨在促进各税收地区之间自动交换金融账户涉税信息。这意味着，我国税务机关可以从其他CRS参与国获取我国税务居民在境外持有的金融账户信息。根据CRS的要求，参与国的金融机构（FIs）需要识别由非本国税务居民持有的账户，并将这些账户信息报送给其本地税务机关，再由本地税务机关与其他参与国的税务机关进行信息交换。报送的信息包括账户持有人的姓名、地址、纳税人识别号（TIN）、税务居民身份、账号、账户余额以及特定类型的收入（如利息、股息、出售金融资产的所得等）。因此，如果我国居民通过位于其他CRS参与国的金融机构，如托管行、交易所或基金平台投资RWA，在CRS的监管下，其账户信息可能会交换给中国税务机关。</w:t>
      </w:r>
      <w:r w:rsidRPr="00420924">
        <w:rPr>
          <w:rFonts w:ascii="Calibri" w:eastAsia="仿宋" w:hAnsi="Calibri" w:cs="Calibri"/>
          <w:sz w:val="24"/>
          <w:szCs w:val="24"/>
        </w:rPr>
        <w:t> </w:t>
      </w:r>
    </w:p>
    <w:p w14:paraId="5F1C32FA" w14:textId="77777777" w:rsidR="00420924" w:rsidRPr="00420924" w:rsidRDefault="00420924" w:rsidP="00420924">
      <w:pPr>
        <w:ind w:firstLineChars="200" w:firstLine="480"/>
        <w:rPr>
          <w:rFonts w:ascii="仿宋" w:eastAsia="仿宋" w:hAnsi="仿宋"/>
          <w:sz w:val="24"/>
          <w:szCs w:val="24"/>
        </w:rPr>
      </w:pPr>
      <w:r w:rsidRPr="00420924">
        <w:rPr>
          <w:rFonts w:ascii="仿宋" w:eastAsia="仿宋" w:hAnsi="仿宋"/>
          <w:sz w:val="24"/>
          <w:szCs w:val="24"/>
        </w:rPr>
        <w:t>尽管CRS主要针对传统的金融机构，但RWA生态系统涉及一些新型中介机构或直接的点对点交易，这些模式在初期可能不完全落入CRS对“金融机构”的传统定义范围，或者致使最终受益所有人的追踪更为复杂。然而，监管机构很可能会扩展相关定义以覆盖这些新兴模式，将其纳入监管范围。例如，反洗</w:t>
      </w:r>
      <w:proofErr w:type="gramStart"/>
      <w:r w:rsidRPr="00420924">
        <w:rPr>
          <w:rFonts w:ascii="仿宋" w:eastAsia="仿宋" w:hAnsi="仿宋"/>
          <w:sz w:val="24"/>
          <w:szCs w:val="24"/>
        </w:rPr>
        <w:t>钱程序</w:t>
      </w:r>
      <w:proofErr w:type="gramEnd"/>
      <w:r w:rsidRPr="00420924">
        <w:rPr>
          <w:rFonts w:ascii="仿宋" w:eastAsia="仿宋" w:hAnsi="仿宋"/>
          <w:sz w:val="24"/>
          <w:szCs w:val="24"/>
        </w:rPr>
        <w:t>正被越来越多地整合到CRS的尽职调查中，显示出监管层意图捕捉此类价值转移的趋势，任何试图利用CRS定义上的暂时空白进行规避的行为，都可能随着法规的完善而面临风险。</w:t>
      </w:r>
    </w:p>
    <w:p w14:paraId="57DC9961" w14:textId="7A150C65" w:rsidR="00420924" w:rsidRPr="00420924" w:rsidRDefault="00420924" w:rsidP="00420924">
      <w:pPr>
        <w:rPr>
          <w:rFonts w:ascii="仿宋" w:eastAsia="仿宋" w:hAnsi="仿宋"/>
          <w:sz w:val="24"/>
          <w:szCs w:val="24"/>
        </w:rPr>
      </w:pPr>
    </w:p>
    <w:p w14:paraId="44F5020B" w14:textId="77777777" w:rsidR="00420924" w:rsidRPr="00420924" w:rsidRDefault="00420924" w:rsidP="00420924">
      <w:pPr>
        <w:ind w:firstLineChars="200" w:firstLine="482"/>
        <w:rPr>
          <w:rFonts w:ascii="仿宋" w:eastAsia="仿宋" w:hAnsi="仿宋"/>
          <w:sz w:val="24"/>
          <w:szCs w:val="24"/>
        </w:rPr>
      </w:pPr>
      <w:r w:rsidRPr="00420924">
        <w:rPr>
          <w:rFonts w:ascii="仿宋" w:eastAsia="仿宋" w:hAnsi="仿宋"/>
          <w:b/>
          <w:bCs/>
          <w:sz w:val="24"/>
          <w:szCs w:val="24"/>
        </w:rPr>
        <w:t>（四）香港《穩定幣條例》的涉税问题初探</w:t>
      </w:r>
    </w:p>
    <w:p w14:paraId="065C37BE" w14:textId="14897B9A" w:rsidR="00420924" w:rsidRPr="00420924" w:rsidRDefault="00420924" w:rsidP="00420924">
      <w:pPr>
        <w:ind w:firstLineChars="200" w:firstLine="480"/>
        <w:rPr>
          <w:rFonts w:ascii="仿宋" w:eastAsia="仿宋" w:hAnsi="仿宋"/>
          <w:sz w:val="24"/>
          <w:szCs w:val="24"/>
        </w:rPr>
      </w:pPr>
    </w:p>
    <w:p w14:paraId="2FE75EF6" w14:textId="2A3BEC5C" w:rsidR="00420924" w:rsidRPr="00420924" w:rsidRDefault="00420924" w:rsidP="00420924">
      <w:pPr>
        <w:ind w:firstLineChars="200" w:firstLine="480"/>
        <w:rPr>
          <w:rFonts w:ascii="仿宋" w:eastAsia="仿宋" w:hAnsi="仿宋" w:hint="eastAsia"/>
          <w:sz w:val="24"/>
          <w:szCs w:val="24"/>
        </w:rPr>
      </w:pPr>
      <w:r w:rsidRPr="00420924">
        <w:rPr>
          <w:rFonts w:ascii="仿宋" w:eastAsia="仿宋" w:hAnsi="仿宋"/>
          <w:sz w:val="24"/>
          <w:szCs w:val="24"/>
        </w:rPr>
        <w:t>2025年5月21日，香港立法会通过《稳定币条例》，5月30日香港特区政府在宪报上刊登，使条例正式成为法例，将于2025年8月1日生效并开始实施。该条例为稳定</w:t>
      </w:r>
      <w:proofErr w:type="gramStart"/>
      <w:r w:rsidRPr="00420924">
        <w:rPr>
          <w:rFonts w:ascii="仿宋" w:eastAsia="仿宋" w:hAnsi="仿宋"/>
          <w:sz w:val="24"/>
          <w:szCs w:val="24"/>
        </w:rPr>
        <w:t>币行业</w:t>
      </w:r>
      <w:proofErr w:type="gramEnd"/>
      <w:r w:rsidRPr="00420924">
        <w:rPr>
          <w:rFonts w:ascii="仿宋" w:eastAsia="仿宋" w:hAnsi="仿宋"/>
          <w:sz w:val="24"/>
          <w:szCs w:val="24"/>
        </w:rPr>
        <w:t>提供了清晰法律框架，通过</w:t>
      </w:r>
      <w:proofErr w:type="gramStart"/>
      <w:r w:rsidRPr="00420924">
        <w:rPr>
          <w:rFonts w:ascii="仿宋" w:eastAsia="仿宋" w:hAnsi="仿宋"/>
          <w:sz w:val="24"/>
          <w:szCs w:val="24"/>
        </w:rPr>
        <w:t>银行级合规</w:t>
      </w:r>
      <w:proofErr w:type="gramEnd"/>
      <w:r w:rsidRPr="00420924">
        <w:rPr>
          <w:rFonts w:ascii="仿宋" w:eastAsia="仿宋" w:hAnsi="仿宋"/>
          <w:sz w:val="24"/>
          <w:szCs w:val="24"/>
        </w:rPr>
        <w:t>监管防范风险，同时给予过渡期和容错空间，有助于增强市场信心，吸引资金进入香港数字资产市场。但是条例在涉税问题上目前尚有很多规定不明，也为后续的投资带来一些不确认因素。</w:t>
      </w:r>
    </w:p>
    <w:p w14:paraId="5A32C71A" w14:textId="77777777" w:rsidR="00420924" w:rsidRPr="00420924" w:rsidRDefault="00420924" w:rsidP="00420924">
      <w:pPr>
        <w:ind w:firstLineChars="200" w:firstLine="480"/>
        <w:rPr>
          <w:rFonts w:ascii="仿宋" w:eastAsia="仿宋" w:hAnsi="仿宋"/>
          <w:sz w:val="24"/>
          <w:szCs w:val="24"/>
        </w:rPr>
      </w:pPr>
      <w:r w:rsidRPr="00420924">
        <w:rPr>
          <w:rFonts w:ascii="仿宋" w:eastAsia="仿宋" w:hAnsi="仿宋"/>
          <w:sz w:val="24"/>
          <w:szCs w:val="24"/>
        </w:rPr>
        <w:t>主要体现在条例完全未对稳定</w:t>
      </w:r>
      <w:proofErr w:type="gramStart"/>
      <w:r w:rsidRPr="00420924">
        <w:rPr>
          <w:rFonts w:ascii="仿宋" w:eastAsia="仿宋" w:hAnsi="仿宋"/>
          <w:sz w:val="24"/>
          <w:szCs w:val="24"/>
        </w:rPr>
        <w:t>币交易</w:t>
      </w:r>
      <w:proofErr w:type="gramEnd"/>
      <w:r w:rsidRPr="00420924">
        <w:rPr>
          <w:rFonts w:ascii="仿宋" w:eastAsia="仿宋" w:hAnsi="仿宋"/>
          <w:sz w:val="24"/>
          <w:szCs w:val="24"/>
        </w:rPr>
        <w:t>的税务处理</w:t>
      </w:r>
      <w:proofErr w:type="gramStart"/>
      <w:r w:rsidRPr="00420924">
        <w:rPr>
          <w:rFonts w:ascii="仿宋" w:eastAsia="仿宋" w:hAnsi="仿宋"/>
          <w:sz w:val="24"/>
          <w:szCs w:val="24"/>
        </w:rPr>
        <w:t>作出</w:t>
      </w:r>
      <w:proofErr w:type="gramEnd"/>
      <w:r w:rsidRPr="00420924">
        <w:rPr>
          <w:rFonts w:ascii="仿宋" w:eastAsia="仿宋" w:hAnsi="仿宋"/>
          <w:sz w:val="24"/>
          <w:szCs w:val="24"/>
        </w:rPr>
        <w:t>任何明确规定。现行文本中既未涉及资本利得税、交易税或所得税等直接税务条款，也未就不同交易场景（如发行、兑换、转让等）的应税性质进行界定，而是将立法重点完全放在发行资质和持牌人合</w:t>
      </w:r>
      <w:proofErr w:type="gramStart"/>
      <w:r w:rsidRPr="00420924">
        <w:rPr>
          <w:rFonts w:ascii="仿宋" w:eastAsia="仿宋" w:hAnsi="仿宋"/>
          <w:sz w:val="24"/>
          <w:szCs w:val="24"/>
        </w:rPr>
        <w:t>规</w:t>
      </w:r>
      <w:proofErr w:type="gramEnd"/>
      <w:r w:rsidRPr="00420924">
        <w:rPr>
          <w:rFonts w:ascii="仿宋" w:eastAsia="仿宋" w:hAnsi="仿宋"/>
          <w:sz w:val="24"/>
          <w:szCs w:val="24"/>
        </w:rPr>
        <w:t>义务等监管要求上。该条例主要聚焦于发行资质、持牌人义务、金融监管措施等合</w:t>
      </w:r>
      <w:proofErr w:type="gramStart"/>
      <w:r w:rsidRPr="00420924">
        <w:rPr>
          <w:rFonts w:ascii="仿宋" w:eastAsia="仿宋" w:hAnsi="仿宋"/>
          <w:sz w:val="24"/>
          <w:szCs w:val="24"/>
        </w:rPr>
        <w:t>规</w:t>
      </w:r>
      <w:proofErr w:type="gramEnd"/>
      <w:r w:rsidRPr="00420924">
        <w:rPr>
          <w:rFonts w:ascii="仿宋" w:eastAsia="仿宋" w:hAnsi="仿宋"/>
          <w:sz w:val="24"/>
          <w:szCs w:val="24"/>
        </w:rPr>
        <w:t>要求。这种立法空白导致了一系列实务问题：</w:t>
      </w:r>
    </w:p>
    <w:p w14:paraId="690D1213" w14:textId="57E73F31" w:rsidR="00420924" w:rsidRPr="00420924" w:rsidRDefault="00420924" w:rsidP="00420924">
      <w:pPr>
        <w:ind w:firstLineChars="200" w:firstLine="480"/>
        <w:rPr>
          <w:rFonts w:ascii="仿宋" w:eastAsia="仿宋" w:hAnsi="仿宋"/>
          <w:sz w:val="24"/>
          <w:szCs w:val="24"/>
        </w:rPr>
      </w:pPr>
    </w:p>
    <w:p w14:paraId="357B56BE" w14:textId="31659813" w:rsidR="00420924" w:rsidRPr="00420924" w:rsidRDefault="00420924" w:rsidP="00420924">
      <w:pPr>
        <w:ind w:firstLineChars="200" w:firstLine="480"/>
        <w:rPr>
          <w:rFonts w:ascii="仿宋" w:eastAsia="仿宋" w:hAnsi="仿宋"/>
          <w:sz w:val="24"/>
          <w:szCs w:val="24"/>
        </w:rPr>
      </w:pPr>
      <w:r w:rsidRPr="00420924">
        <w:rPr>
          <w:rFonts w:ascii="仿宋" w:eastAsia="仿宋" w:hAnsi="仿宋"/>
          <w:sz w:val="24"/>
          <w:szCs w:val="24"/>
        </w:rPr>
        <w:drawing>
          <wp:inline distT="0" distB="0" distL="0" distR="0" wp14:anchorId="0716A103" wp14:editId="6245F8C5">
            <wp:extent cx="5274310" cy="3125470"/>
            <wp:effectExtent l="0" t="0" r="2540" b="0"/>
            <wp:docPr id="1422902382" name="图片 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125470"/>
                    </a:xfrm>
                    <a:prstGeom prst="rect">
                      <a:avLst/>
                    </a:prstGeom>
                    <a:noFill/>
                    <a:ln>
                      <a:noFill/>
                    </a:ln>
                  </pic:spPr>
                </pic:pic>
              </a:graphicData>
            </a:graphic>
          </wp:inline>
        </w:drawing>
      </w:r>
    </w:p>
    <w:p w14:paraId="1A1491AC" w14:textId="77777777" w:rsidR="00420924" w:rsidRPr="00420924" w:rsidRDefault="00420924" w:rsidP="00420924">
      <w:pPr>
        <w:rPr>
          <w:rFonts w:ascii="仿宋" w:eastAsia="仿宋" w:hAnsi="仿宋"/>
          <w:sz w:val="24"/>
          <w:szCs w:val="24"/>
        </w:rPr>
      </w:pPr>
      <w:r w:rsidRPr="00420924">
        <w:rPr>
          <w:rFonts w:ascii="仿宋" w:eastAsia="仿宋" w:hAnsi="仿宋"/>
          <w:sz w:val="24"/>
          <w:szCs w:val="24"/>
        </w:rPr>
        <w:br/>
      </w:r>
    </w:p>
    <w:p w14:paraId="222544DC" w14:textId="77777777" w:rsidR="00420924" w:rsidRPr="00420924" w:rsidRDefault="00420924" w:rsidP="00420924">
      <w:pPr>
        <w:ind w:firstLineChars="200" w:firstLine="482"/>
        <w:rPr>
          <w:rFonts w:ascii="仿宋" w:eastAsia="仿宋" w:hAnsi="仿宋"/>
          <w:sz w:val="24"/>
          <w:szCs w:val="24"/>
        </w:rPr>
      </w:pPr>
      <w:r w:rsidRPr="00420924">
        <w:rPr>
          <w:rFonts w:ascii="仿宋" w:eastAsia="仿宋" w:hAnsi="仿宋"/>
          <w:b/>
          <w:bCs/>
          <w:sz w:val="24"/>
          <w:szCs w:val="24"/>
        </w:rPr>
        <w:t>四、RWA 投资的合理退出策略</w:t>
      </w:r>
    </w:p>
    <w:p w14:paraId="0ACF6971" w14:textId="3016C647" w:rsidR="00420924" w:rsidRPr="00420924" w:rsidRDefault="00420924" w:rsidP="00420924">
      <w:pPr>
        <w:ind w:firstLineChars="200" w:firstLine="480"/>
        <w:rPr>
          <w:rFonts w:ascii="仿宋" w:eastAsia="仿宋" w:hAnsi="仿宋"/>
          <w:sz w:val="24"/>
          <w:szCs w:val="24"/>
        </w:rPr>
      </w:pPr>
    </w:p>
    <w:p w14:paraId="520CCC65" w14:textId="77777777" w:rsidR="00420924" w:rsidRPr="00420924" w:rsidRDefault="00420924" w:rsidP="00420924">
      <w:pPr>
        <w:ind w:firstLineChars="200" w:firstLine="482"/>
        <w:rPr>
          <w:rFonts w:ascii="仿宋" w:eastAsia="仿宋" w:hAnsi="仿宋"/>
          <w:sz w:val="24"/>
          <w:szCs w:val="24"/>
        </w:rPr>
      </w:pPr>
      <w:r w:rsidRPr="00420924">
        <w:rPr>
          <w:rFonts w:ascii="仿宋" w:eastAsia="仿宋" w:hAnsi="仿宋"/>
          <w:b/>
          <w:bCs/>
          <w:sz w:val="24"/>
          <w:szCs w:val="24"/>
        </w:rPr>
        <w:t>（一）基于市场行情的退出时机选择</w:t>
      </w:r>
    </w:p>
    <w:p w14:paraId="500A2F4F" w14:textId="74C1591F" w:rsidR="00420924" w:rsidRPr="00420924" w:rsidRDefault="00420924" w:rsidP="00420924">
      <w:pPr>
        <w:ind w:firstLineChars="200" w:firstLine="480"/>
        <w:rPr>
          <w:rFonts w:ascii="仿宋" w:eastAsia="仿宋" w:hAnsi="仿宋"/>
          <w:sz w:val="24"/>
          <w:szCs w:val="24"/>
        </w:rPr>
      </w:pPr>
    </w:p>
    <w:p w14:paraId="31C5C3C4" w14:textId="77777777" w:rsidR="00420924" w:rsidRPr="00420924" w:rsidRDefault="00420924" w:rsidP="00420924">
      <w:pPr>
        <w:ind w:firstLineChars="200" w:firstLine="480"/>
        <w:rPr>
          <w:rFonts w:ascii="仿宋" w:eastAsia="仿宋" w:hAnsi="仿宋"/>
          <w:sz w:val="24"/>
          <w:szCs w:val="24"/>
        </w:rPr>
      </w:pPr>
      <w:r w:rsidRPr="00420924">
        <w:rPr>
          <w:rFonts w:ascii="仿宋" w:eastAsia="仿宋" w:hAnsi="仿宋"/>
          <w:sz w:val="24"/>
          <w:szCs w:val="24"/>
        </w:rPr>
        <w:t>把握合适的退出时机是RWA投资成功的关键因素之一，而市场行情则是判断退出时机的重要依据。宏观经济形势对RWA市场有着深远的影响，在经济衰退时期，各类资产价格普遍下跌，RWA也难以独善其身。例如，在经济下行周期，房地产 RWA的价格会随着房地产市场的低迷而下降，此时投资者如果能及时抛售，即可有效避免资产进一步缩水。与此同时，也需要密切关注各行业的发展趋势，当某一RWA领域出现重大技术革新或政策调整变更时，可能会对资产未来的收益预期产生重大影响。例如新能源充电桩RWA项目，如果行业内出现更高效的充电技术，或者相关补贴政策取消，都可能导致该项目的收益下降，投资者应及时评估并考虑退出策略。</w:t>
      </w:r>
    </w:p>
    <w:p w14:paraId="0AF3F66C" w14:textId="3884F778" w:rsidR="00420924" w:rsidRPr="00420924" w:rsidRDefault="00420924" w:rsidP="00420924">
      <w:pPr>
        <w:rPr>
          <w:rFonts w:ascii="仿宋" w:eastAsia="仿宋" w:hAnsi="仿宋"/>
          <w:sz w:val="24"/>
          <w:szCs w:val="24"/>
        </w:rPr>
      </w:pPr>
    </w:p>
    <w:p w14:paraId="4C4133E6" w14:textId="77777777" w:rsidR="00420924" w:rsidRPr="00420924" w:rsidRDefault="00420924" w:rsidP="00420924">
      <w:pPr>
        <w:ind w:firstLineChars="200" w:firstLine="480"/>
        <w:rPr>
          <w:rFonts w:ascii="仿宋" w:eastAsia="仿宋" w:hAnsi="仿宋"/>
          <w:sz w:val="24"/>
          <w:szCs w:val="24"/>
        </w:rPr>
      </w:pPr>
      <w:r w:rsidRPr="00420924">
        <w:rPr>
          <w:rFonts w:ascii="仿宋" w:eastAsia="仿宋" w:hAnsi="仿宋"/>
          <w:sz w:val="24"/>
          <w:szCs w:val="24"/>
        </w:rPr>
        <w:t>除了关注宏观经济和行业趋势，技术指标也能为投资者提供一定的参考。对于交易活跃的RWA代币，价格走势、成交量等技术指标具有重要的分析价值。当代</w:t>
      </w:r>
      <w:proofErr w:type="gramStart"/>
      <w:r w:rsidRPr="00420924">
        <w:rPr>
          <w:rFonts w:ascii="仿宋" w:eastAsia="仿宋" w:hAnsi="仿宋"/>
          <w:sz w:val="24"/>
          <w:szCs w:val="24"/>
        </w:rPr>
        <w:t>币价格</w:t>
      </w:r>
      <w:proofErr w:type="gramEnd"/>
      <w:r w:rsidRPr="00420924">
        <w:rPr>
          <w:rFonts w:ascii="仿宋" w:eastAsia="仿宋" w:hAnsi="仿宋"/>
          <w:sz w:val="24"/>
          <w:szCs w:val="24"/>
        </w:rPr>
        <w:t>连续跌破关键支撑位，并且成交量显著增大时，这可能是市场趋势反转的明显信号，投资者可以考虑适时退出投资。目前常用的技术分析工具，如移动平均线、相对强弱指标（RSI）等，能够帮助投资者判断市场的交易信号。但需要注意的是，技术分析的方法并不是绝对准确的，投资者应将其与基本面分析方法相结合，综合判断市场走势，从而做出更为合理的退出决策。</w:t>
      </w:r>
    </w:p>
    <w:p w14:paraId="7C70CDE6" w14:textId="60167E26" w:rsidR="00420924" w:rsidRPr="00420924" w:rsidRDefault="00420924" w:rsidP="00420924">
      <w:pPr>
        <w:ind w:firstLineChars="200" w:firstLine="480"/>
        <w:rPr>
          <w:rFonts w:ascii="仿宋" w:eastAsia="仿宋" w:hAnsi="仿宋"/>
          <w:sz w:val="24"/>
          <w:szCs w:val="24"/>
        </w:rPr>
      </w:pPr>
    </w:p>
    <w:p w14:paraId="0E97FE79" w14:textId="77777777" w:rsidR="00420924" w:rsidRPr="00420924" w:rsidRDefault="00420924" w:rsidP="00420924">
      <w:pPr>
        <w:ind w:firstLineChars="200" w:firstLine="482"/>
        <w:rPr>
          <w:rFonts w:ascii="仿宋" w:eastAsia="仿宋" w:hAnsi="仿宋"/>
          <w:sz w:val="24"/>
          <w:szCs w:val="24"/>
        </w:rPr>
      </w:pPr>
      <w:r w:rsidRPr="00420924">
        <w:rPr>
          <w:rFonts w:ascii="仿宋" w:eastAsia="仿宋" w:hAnsi="仿宋"/>
          <w:b/>
          <w:bCs/>
          <w:sz w:val="24"/>
          <w:szCs w:val="24"/>
        </w:rPr>
        <w:t>（二）退出方式及操作流程</w:t>
      </w:r>
    </w:p>
    <w:p w14:paraId="780A1CA1" w14:textId="59F2638D" w:rsidR="00420924" w:rsidRPr="00420924" w:rsidRDefault="00420924" w:rsidP="00420924">
      <w:pPr>
        <w:ind w:firstLineChars="200" w:firstLine="480"/>
        <w:rPr>
          <w:rFonts w:ascii="仿宋" w:eastAsia="仿宋" w:hAnsi="仿宋"/>
          <w:sz w:val="24"/>
          <w:szCs w:val="24"/>
        </w:rPr>
      </w:pPr>
    </w:p>
    <w:p w14:paraId="36F940EE" w14:textId="77777777" w:rsidR="00420924" w:rsidRPr="00420924" w:rsidRDefault="00420924" w:rsidP="00420924">
      <w:pPr>
        <w:ind w:firstLineChars="200" w:firstLine="480"/>
        <w:rPr>
          <w:rFonts w:ascii="仿宋" w:eastAsia="仿宋" w:hAnsi="仿宋"/>
          <w:sz w:val="24"/>
          <w:szCs w:val="24"/>
        </w:rPr>
      </w:pPr>
      <w:r w:rsidRPr="00420924">
        <w:rPr>
          <w:rFonts w:ascii="仿宋" w:eastAsia="仿宋" w:hAnsi="仿宋"/>
          <w:sz w:val="24"/>
          <w:szCs w:val="24"/>
        </w:rPr>
        <w:t>二级市场交易是RWA投资中最为常见的退出方式。对于在合</w:t>
      </w:r>
      <w:proofErr w:type="gramStart"/>
      <w:r w:rsidRPr="00420924">
        <w:rPr>
          <w:rFonts w:ascii="仿宋" w:eastAsia="仿宋" w:hAnsi="仿宋"/>
          <w:sz w:val="24"/>
          <w:szCs w:val="24"/>
        </w:rPr>
        <w:t>规</w:t>
      </w:r>
      <w:proofErr w:type="gramEnd"/>
      <w:r w:rsidRPr="00420924">
        <w:rPr>
          <w:rFonts w:ascii="仿宋" w:eastAsia="仿宋" w:hAnsi="仿宋"/>
          <w:sz w:val="24"/>
          <w:szCs w:val="24"/>
        </w:rPr>
        <w:t>交易平台上市的RWA产品，如公募不动产投资信托基金（REITs）或部分证券型代币，投资者可以通过在二级市场按照市场价格交易实现退出。以某公</w:t>
      </w:r>
      <w:proofErr w:type="gramStart"/>
      <w:r w:rsidRPr="00420924">
        <w:rPr>
          <w:rFonts w:ascii="仿宋" w:eastAsia="仿宋" w:hAnsi="仿宋"/>
          <w:sz w:val="24"/>
          <w:szCs w:val="24"/>
        </w:rPr>
        <w:t>募</w:t>
      </w:r>
      <w:proofErr w:type="gramEnd"/>
      <w:r w:rsidRPr="00420924">
        <w:rPr>
          <w:rFonts w:ascii="仿宋" w:eastAsia="仿宋" w:hAnsi="仿宋"/>
          <w:sz w:val="24"/>
          <w:szCs w:val="24"/>
        </w:rPr>
        <w:t>REITs为例，投资者只需登录自己的证券交易账户，选择要卖出的REITs份额，然后根据市场行情选择市价单或限价单等委托方式下单卖出，确认交易后即可完成退出操作，这种退出方式的优势在于交易便捷、流动性较好，投资者可以在交易日内随时根据市场价格变化进行交易。然而，二级市场价格波动较大，投资者可能面临实际退出价格低于预期的风险，因此在选择退出时机时需要谨慎判断。</w:t>
      </w:r>
    </w:p>
    <w:p w14:paraId="133CA86E" w14:textId="42E1F9B4" w:rsidR="00420924" w:rsidRPr="00420924" w:rsidRDefault="00420924" w:rsidP="00420924">
      <w:pPr>
        <w:ind w:firstLineChars="200" w:firstLine="480"/>
        <w:rPr>
          <w:rFonts w:ascii="仿宋" w:eastAsia="仿宋" w:hAnsi="仿宋"/>
          <w:sz w:val="24"/>
          <w:szCs w:val="24"/>
        </w:rPr>
      </w:pPr>
    </w:p>
    <w:p w14:paraId="19163FC2" w14:textId="77777777" w:rsidR="00420924" w:rsidRPr="00420924" w:rsidRDefault="00420924" w:rsidP="00420924">
      <w:pPr>
        <w:ind w:firstLineChars="200" w:firstLine="480"/>
        <w:rPr>
          <w:rFonts w:ascii="仿宋" w:eastAsia="仿宋" w:hAnsi="仿宋"/>
          <w:sz w:val="24"/>
          <w:szCs w:val="24"/>
        </w:rPr>
      </w:pPr>
      <w:r w:rsidRPr="00420924">
        <w:rPr>
          <w:rFonts w:ascii="仿宋" w:eastAsia="仿宋" w:hAnsi="仿宋"/>
          <w:sz w:val="24"/>
          <w:szCs w:val="24"/>
        </w:rPr>
        <w:t>部分RWA项目在设计时就会设置赎回机制，投资者在满足一定条件时可以向项目方申请赎回。以某企业债券RWA项目为例，其赎回条款规定，投资者对RWA的持有期限需达到</w:t>
      </w:r>
      <w:proofErr w:type="gramStart"/>
      <w:r w:rsidRPr="00420924">
        <w:rPr>
          <w:rFonts w:ascii="仿宋" w:eastAsia="仿宋" w:hAnsi="仿宋"/>
          <w:sz w:val="24"/>
          <w:szCs w:val="24"/>
        </w:rPr>
        <w:t>一</w:t>
      </w:r>
      <w:proofErr w:type="gramEnd"/>
      <w:r w:rsidRPr="00420924">
        <w:rPr>
          <w:rFonts w:ascii="仿宋" w:eastAsia="仿宋" w:hAnsi="仿宋"/>
          <w:sz w:val="24"/>
          <w:szCs w:val="24"/>
        </w:rPr>
        <w:t>定时限，且项目达到特定业绩指标时，方可提交赎回申请。投资者在申请赎回时，需按照项目方规定的流程提交相关材料，项目方会对申请进行审核，审核通过后，将资金返还给投资者。在签订合同完成交易之前，投资者需要仔细研读赎回条款，明确赎回价格的计算方式、是否存在赎回手续费等细节，以准确评估投资赎回收益。对于涉及跨境投资的RWA项目，赎回时还需特别注意跨境资金回流的合</w:t>
      </w:r>
      <w:proofErr w:type="gramStart"/>
      <w:r w:rsidRPr="00420924">
        <w:rPr>
          <w:rFonts w:ascii="仿宋" w:eastAsia="仿宋" w:hAnsi="仿宋"/>
          <w:sz w:val="24"/>
          <w:szCs w:val="24"/>
        </w:rPr>
        <w:t>规</w:t>
      </w:r>
      <w:proofErr w:type="gramEnd"/>
      <w:r w:rsidRPr="00420924">
        <w:rPr>
          <w:rFonts w:ascii="仿宋" w:eastAsia="仿宋" w:hAnsi="仿宋"/>
          <w:sz w:val="24"/>
          <w:szCs w:val="24"/>
        </w:rPr>
        <w:t>性，以及可能面临的汇率波动风险，确保资金能够安全、顺利、合法地回到国内账户。</w:t>
      </w:r>
    </w:p>
    <w:p w14:paraId="0598A702" w14:textId="7235544A" w:rsidR="00420924" w:rsidRPr="00420924" w:rsidRDefault="00420924" w:rsidP="00420924">
      <w:pPr>
        <w:ind w:firstLineChars="200" w:firstLine="480"/>
        <w:rPr>
          <w:rFonts w:ascii="仿宋" w:eastAsia="仿宋" w:hAnsi="仿宋"/>
          <w:sz w:val="24"/>
          <w:szCs w:val="24"/>
        </w:rPr>
      </w:pPr>
    </w:p>
    <w:p w14:paraId="4C4BADAD" w14:textId="77777777" w:rsidR="00420924" w:rsidRPr="00420924" w:rsidRDefault="00420924" w:rsidP="00420924">
      <w:pPr>
        <w:ind w:firstLineChars="200" w:firstLine="482"/>
        <w:rPr>
          <w:rFonts w:ascii="仿宋" w:eastAsia="仿宋" w:hAnsi="仿宋"/>
          <w:sz w:val="24"/>
          <w:szCs w:val="24"/>
        </w:rPr>
      </w:pPr>
      <w:r w:rsidRPr="00420924">
        <w:rPr>
          <w:rFonts w:ascii="仿宋" w:eastAsia="仿宋" w:hAnsi="仿宋"/>
          <w:b/>
          <w:bCs/>
          <w:sz w:val="24"/>
          <w:szCs w:val="24"/>
        </w:rPr>
        <w:t>（三）退出过程中的风险防范</w:t>
      </w:r>
    </w:p>
    <w:p w14:paraId="0E52974C" w14:textId="02EF9C4A" w:rsidR="00420924" w:rsidRPr="00420924" w:rsidRDefault="00420924" w:rsidP="00420924">
      <w:pPr>
        <w:ind w:firstLineChars="200" w:firstLine="480"/>
        <w:rPr>
          <w:rFonts w:ascii="仿宋" w:eastAsia="仿宋" w:hAnsi="仿宋"/>
          <w:sz w:val="24"/>
          <w:szCs w:val="24"/>
        </w:rPr>
      </w:pPr>
    </w:p>
    <w:p w14:paraId="6A1A8A4E" w14:textId="11480D46" w:rsidR="00420924" w:rsidRPr="00420924" w:rsidRDefault="00420924" w:rsidP="00420924">
      <w:pPr>
        <w:ind w:firstLineChars="200" w:firstLine="480"/>
        <w:rPr>
          <w:rFonts w:ascii="仿宋" w:eastAsia="仿宋" w:hAnsi="仿宋" w:hint="eastAsia"/>
          <w:sz w:val="24"/>
          <w:szCs w:val="24"/>
        </w:rPr>
      </w:pPr>
      <w:r w:rsidRPr="00420924">
        <w:rPr>
          <w:rFonts w:ascii="仿宋" w:eastAsia="仿宋" w:hAnsi="仿宋"/>
          <w:sz w:val="24"/>
          <w:szCs w:val="24"/>
        </w:rPr>
        <w:t>在RWA投资的退出过程中，价格波动风险是投资者需要重点防范领域。由于RWA市场受到多种因素影响，如果条款未确定RWA投资退出结算价格的时间点，从投资者提交退出申请到实际完成交易的这段时间内，资产价格可能发生大幅波动。例如，如果投资者持有黄金RWA产品，在提交赎回申请后，国际金价突然大幅下跌，那么该投资者最终收到的资金可能远低于申请时的预期。为了降低价格波动风险，投资者可以采用分批退出的策略，避免一次性集中抛售对市场价格造成冲击，同时也能在一定程度上平滑价格波动对收益的影响。</w:t>
      </w:r>
    </w:p>
    <w:p w14:paraId="1738C355" w14:textId="77777777" w:rsidR="00420924" w:rsidRPr="00420924" w:rsidRDefault="00420924" w:rsidP="00420924">
      <w:pPr>
        <w:ind w:firstLineChars="200" w:firstLine="480"/>
        <w:rPr>
          <w:rFonts w:ascii="仿宋" w:eastAsia="仿宋" w:hAnsi="仿宋"/>
          <w:sz w:val="24"/>
          <w:szCs w:val="24"/>
        </w:rPr>
      </w:pPr>
      <w:r w:rsidRPr="00420924">
        <w:rPr>
          <w:rFonts w:ascii="仿宋" w:eastAsia="仿宋" w:hAnsi="仿宋"/>
          <w:sz w:val="24"/>
          <w:szCs w:val="24"/>
        </w:rPr>
        <w:t>此外，合</w:t>
      </w:r>
      <w:proofErr w:type="gramStart"/>
      <w:r w:rsidRPr="00420924">
        <w:rPr>
          <w:rFonts w:ascii="仿宋" w:eastAsia="仿宋" w:hAnsi="仿宋"/>
          <w:sz w:val="24"/>
          <w:szCs w:val="24"/>
        </w:rPr>
        <w:t>规</w:t>
      </w:r>
      <w:proofErr w:type="gramEnd"/>
      <w:r w:rsidRPr="00420924">
        <w:rPr>
          <w:rFonts w:ascii="仿宋" w:eastAsia="仿宋" w:hAnsi="仿宋"/>
          <w:sz w:val="24"/>
          <w:szCs w:val="24"/>
        </w:rPr>
        <w:t>风险同样不容忽视，无论是通过二级市场交易还是项目方赎回的方式退出投资，都必须严格遵守相关法律法规和交易平台规则。在跨境退出过程中，投资者特别要遵守我国外汇管理规定，确保资金合法出境与入境，一旦违反合</w:t>
      </w:r>
      <w:proofErr w:type="gramStart"/>
      <w:r w:rsidRPr="00420924">
        <w:rPr>
          <w:rFonts w:ascii="仿宋" w:eastAsia="仿宋" w:hAnsi="仿宋"/>
          <w:sz w:val="24"/>
          <w:szCs w:val="24"/>
        </w:rPr>
        <w:t>规</w:t>
      </w:r>
      <w:proofErr w:type="gramEnd"/>
      <w:r w:rsidRPr="00420924">
        <w:rPr>
          <w:rFonts w:ascii="仿宋" w:eastAsia="仿宋" w:hAnsi="仿宋"/>
          <w:sz w:val="24"/>
          <w:szCs w:val="24"/>
        </w:rPr>
        <w:t>要求，可能导致交易受阻，甚至资金被冻结，给投资者带来严重的经济损失。因此，投资者在退出前应充分了解并严格遵守相关合</w:t>
      </w:r>
      <w:proofErr w:type="gramStart"/>
      <w:r w:rsidRPr="00420924">
        <w:rPr>
          <w:rFonts w:ascii="仿宋" w:eastAsia="仿宋" w:hAnsi="仿宋"/>
          <w:sz w:val="24"/>
          <w:szCs w:val="24"/>
        </w:rPr>
        <w:t>规</w:t>
      </w:r>
      <w:proofErr w:type="gramEnd"/>
      <w:r w:rsidRPr="00420924">
        <w:rPr>
          <w:rFonts w:ascii="仿宋" w:eastAsia="仿宋" w:hAnsi="仿宋"/>
          <w:sz w:val="24"/>
          <w:szCs w:val="24"/>
        </w:rPr>
        <w:t>规定，必要时可咨询专业</w:t>
      </w:r>
      <w:r w:rsidRPr="00420924">
        <w:rPr>
          <w:rFonts w:ascii="仿宋" w:eastAsia="仿宋" w:hAnsi="仿宋"/>
          <w:sz w:val="24"/>
          <w:szCs w:val="24"/>
        </w:rPr>
        <w:lastRenderedPageBreak/>
        <w:t>的律师或税务顾问，确保退出过程合法合</w:t>
      </w:r>
      <w:proofErr w:type="gramStart"/>
      <w:r w:rsidRPr="00420924">
        <w:rPr>
          <w:rFonts w:ascii="仿宋" w:eastAsia="仿宋" w:hAnsi="仿宋"/>
          <w:sz w:val="24"/>
          <w:szCs w:val="24"/>
        </w:rPr>
        <w:t>规</w:t>
      </w:r>
      <w:proofErr w:type="gramEnd"/>
      <w:r w:rsidRPr="00420924">
        <w:rPr>
          <w:rFonts w:ascii="仿宋" w:eastAsia="仿宋" w:hAnsi="仿宋"/>
          <w:sz w:val="24"/>
          <w:szCs w:val="24"/>
        </w:rPr>
        <w:t>。此外，投资者还需关注项目方或交易平台在退出过程中的信誉风险，如项目方是否存在财务困境、平台是否安全可靠等问题，避免因他方问题导致退出失败或资金损失。在选择投资项目和交易平台时，要优先选择信誉良好、实力雄厚的机构，降低潜在的风险。</w:t>
      </w:r>
    </w:p>
    <w:p w14:paraId="154A5E7E" w14:textId="77777777" w:rsidR="0021353F" w:rsidRPr="00420924" w:rsidRDefault="0021353F" w:rsidP="00420924">
      <w:pPr>
        <w:ind w:firstLineChars="200" w:firstLine="480"/>
        <w:rPr>
          <w:rFonts w:ascii="仿宋" w:eastAsia="仿宋" w:hAnsi="仿宋" w:hint="eastAsia"/>
          <w:sz w:val="24"/>
          <w:szCs w:val="24"/>
        </w:rPr>
      </w:pPr>
    </w:p>
    <w:sectPr w:rsidR="0021353F" w:rsidRPr="004209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2360E"/>
    <w:multiLevelType w:val="hybridMultilevel"/>
    <w:tmpl w:val="96CC7C84"/>
    <w:lvl w:ilvl="0" w:tplc="756C517C">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497762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45"/>
    <w:rsid w:val="00166745"/>
    <w:rsid w:val="0021353F"/>
    <w:rsid w:val="00420924"/>
    <w:rsid w:val="00421970"/>
    <w:rsid w:val="0084108D"/>
    <w:rsid w:val="00BD5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85772"/>
  <w15:chartTrackingRefBased/>
  <w15:docId w15:val="{32DECDD1-FE6B-463A-B280-514E6BED1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6674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6674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6674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6674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66745"/>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16674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6674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674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66745"/>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674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6674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6674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66745"/>
    <w:rPr>
      <w:rFonts w:cstheme="majorBidi"/>
      <w:color w:val="0F4761" w:themeColor="accent1" w:themeShade="BF"/>
      <w:sz w:val="28"/>
      <w:szCs w:val="28"/>
    </w:rPr>
  </w:style>
  <w:style w:type="character" w:customStyle="1" w:styleId="50">
    <w:name w:val="标题 5 字符"/>
    <w:basedOn w:val="a0"/>
    <w:link w:val="5"/>
    <w:uiPriority w:val="9"/>
    <w:semiHidden/>
    <w:rsid w:val="00166745"/>
    <w:rPr>
      <w:rFonts w:cstheme="majorBidi"/>
      <w:color w:val="0F4761" w:themeColor="accent1" w:themeShade="BF"/>
      <w:sz w:val="24"/>
      <w:szCs w:val="24"/>
    </w:rPr>
  </w:style>
  <w:style w:type="character" w:customStyle="1" w:styleId="60">
    <w:name w:val="标题 6 字符"/>
    <w:basedOn w:val="a0"/>
    <w:link w:val="6"/>
    <w:uiPriority w:val="9"/>
    <w:semiHidden/>
    <w:rsid w:val="00166745"/>
    <w:rPr>
      <w:rFonts w:cstheme="majorBidi"/>
      <w:b/>
      <w:bCs/>
      <w:color w:val="0F4761" w:themeColor="accent1" w:themeShade="BF"/>
    </w:rPr>
  </w:style>
  <w:style w:type="character" w:customStyle="1" w:styleId="70">
    <w:name w:val="标题 7 字符"/>
    <w:basedOn w:val="a0"/>
    <w:link w:val="7"/>
    <w:uiPriority w:val="9"/>
    <w:semiHidden/>
    <w:rsid w:val="00166745"/>
    <w:rPr>
      <w:rFonts w:cstheme="majorBidi"/>
      <w:b/>
      <w:bCs/>
      <w:color w:val="595959" w:themeColor="text1" w:themeTint="A6"/>
    </w:rPr>
  </w:style>
  <w:style w:type="character" w:customStyle="1" w:styleId="80">
    <w:name w:val="标题 8 字符"/>
    <w:basedOn w:val="a0"/>
    <w:link w:val="8"/>
    <w:uiPriority w:val="9"/>
    <w:semiHidden/>
    <w:rsid w:val="00166745"/>
    <w:rPr>
      <w:rFonts w:cstheme="majorBidi"/>
      <w:color w:val="595959" w:themeColor="text1" w:themeTint="A6"/>
    </w:rPr>
  </w:style>
  <w:style w:type="character" w:customStyle="1" w:styleId="90">
    <w:name w:val="标题 9 字符"/>
    <w:basedOn w:val="a0"/>
    <w:link w:val="9"/>
    <w:uiPriority w:val="9"/>
    <w:semiHidden/>
    <w:rsid w:val="00166745"/>
    <w:rPr>
      <w:rFonts w:eastAsiaTheme="majorEastAsia" w:cstheme="majorBidi"/>
      <w:color w:val="595959" w:themeColor="text1" w:themeTint="A6"/>
    </w:rPr>
  </w:style>
  <w:style w:type="paragraph" w:styleId="a3">
    <w:name w:val="Title"/>
    <w:basedOn w:val="a"/>
    <w:next w:val="a"/>
    <w:link w:val="a4"/>
    <w:uiPriority w:val="10"/>
    <w:qFormat/>
    <w:rsid w:val="0016674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67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674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67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6745"/>
    <w:pPr>
      <w:spacing w:before="160" w:after="160"/>
      <w:jc w:val="center"/>
    </w:pPr>
    <w:rPr>
      <w:i/>
      <w:iCs/>
      <w:color w:val="404040" w:themeColor="text1" w:themeTint="BF"/>
    </w:rPr>
  </w:style>
  <w:style w:type="character" w:customStyle="1" w:styleId="a8">
    <w:name w:val="引用 字符"/>
    <w:basedOn w:val="a0"/>
    <w:link w:val="a7"/>
    <w:uiPriority w:val="29"/>
    <w:rsid w:val="00166745"/>
    <w:rPr>
      <w:i/>
      <w:iCs/>
      <w:color w:val="404040" w:themeColor="text1" w:themeTint="BF"/>
    </w:rPr>
  </w:style>
  <w:style w:type="paragraph" w:styleId="a9">
    <w:name w:val="List Paragraph"/>
    <w:basedOn w:val="a"/>
    <w:uiPriority w:val="34"/>
    <w:qFormat/>
    <w:rsid w:val="00166745"/>
    <w:pPr>
      <w:ind w:left="720"/>
      <w:contextualSpacing/>
    </w:pPr>
  </w:style>
  <w:style w:type="character" w:styleId="aa">
    <w:name w:val="Intense Emphasis"/>
    <w:basedOn w:val="a0"/>
    <w:uiPriority w:val="21"/>
    <w:qFormat/>
    <w:rsid w:val="00166745"/>
    <w:rPr>
      <w:i/>
      <w:iCs/>
      <w:color w:val="0F4761" w:themeColor="accent1" w:themeShade="BF"/>
    </w:rPr>
  </w:style>
  <w:style w:type="paragraph" w:styleId="ab">
    <w:name w:val="Intense Quote"/>
    <w:basedOn w:val="a"/>
    <w:next w:val="a"/>
    <w:link w:val="ac"/>
    <w:uiPriority w:val="30"/>
    <w:qFormat/>
    <w:rsid w:val="00166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66745"/>
    <w:rPr>
      <w:i/>
      <w:iCs/>
      <w:color w:val="0F4761" w:themeColor="accent1" w:themeShade="BF"/>
    </w:rPr>
  </w:style>
  <w:style w:type="character" w:styleId="ad">
    <w:name w:val="Intense Reference"/>
    <w:basedOn w:val="a0"/>
    <w:uiPriority w:val="32"/>
    <w:qFormat/>
    <w:rsid w:val="00166745"/>
    <w:rPr>
      <w:b/>
      <w:bCs/>
      <w:smallCaps/>
      <w:color w:val="0F4761" w:themeColor="accent1" w:themeShade="BF"/>
      <w:spacing w:val="5"/>
    </w:rPr>
  </w:style>
  <w:style w:type="character" w:styleId="ae">
    <w:name w:val="Hyperlink"/>
    <w:basedOn w:val="a0"/>
    <w:uiPriority w:val="99"/>
    <w:unhideWhenUsed/>
    <w:rsid w:val="00420924"/>
    <w:rPr>
      <w:color w:val="467886" w:themeColor="hyperlink"/>
      <w:u w:val="single"/>
    </w:rPr>
  </w:style>
  <w:style w:type="character" w:styleId="af">
    <w:name w:val="Unresolved Mention"/>
    <w:basedOn w:val="a0"/>
    <w:uiPriority w:val="99"/>
    <w:semiHidden/>
    <w:unhideWhenUsed/>
    <w:rsid w:val="00420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4400</Words>
  <Characters>4446</Characters>
  <Application>Microsoft Office Word</Application>
  <DocSecurity>0</DocSecurity>
  <Lines>247</Lines>
  <Paragraphs>132</Paragraphs>
  <ScaleCrop>false</ScaleCrop>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磊 桂</dc:creator>
  <cp:keywords/>
  <dc:description/>
  <cp:lastModifiedBy>磊 桂</cp:lastModifiedBy>
  <cp:revision>2</cp:revision>
  <dcterms:created xsi:type="dcterms:W3CDTF">2026-05-11T08:53:00Z</dcterms:created>
  <dcterms:modified xsi:type="dcterms:W3CDTF">2026-05-11T08:59:00Z</dcterms:modified>
</cp:coreProperties>
</file>