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DCE25">
      <w:pPr>
        <w:pStyle w:val="2"/>
        <w:keepNext w:val="0"/>
        <w:keepLines w:val="0"/>
        <w:widowControl/>
        <w:suppressLineNumbers w:val="0"/>
        <w:spacing w:before="0" w:beforeAutospacing="0" w:after="320" w:afterAutospacing="0"/>
        <w:ind w:left="0" w:right="0" w:firstLine="0"/>
        <w:jc w:val="both"/>
        <w:rPr>
          <w:rFonts w:hint="default" w:ascii="var(--dsw-font-markdown-h1)" w:hAnsi="var(--dsw-font-markdown-h1)" w:eastAsia="var(--dsw-font-markdown-h1)" w:cs="var(--dsw-font-markdown-h1)"/>
          <w:i w:val="0"/>
          <w:iCs w:val="0"/>
          <w:caps w:val="0"/>
          <w:color w:val="0F1115"/>
          <w:spacing w:val="0"/>
          <w:sz w:val="40"/>
          <w:szCs w:val="40"/>
          <w:u w:val="none"/>
        </w:rPr>
      </w:pPr>
      <w:r>
        <w:rPr>
          <w:rFonts w:hint="default" w:ascii="var(--dsw-font-markdown-h1)" w:hAnsi="var(--dsw-font-markdown-h1)" w:eastAsia="var(--dsw-font-markdown-h1)" w:cs="var(--dsw-font-markdown-h1)"/>
          <w:i w:val="0"/>
          <w:iCs w:val="0"/>
          <w:caps w:val="0"/>
          <w:color w:val="0F1115"/>
          <w:spacing w:val="0"/>
          <w:sz w:val="40"/>
          <w:szCs w:val="40"/>
          <w:u w:val="none"/>
        </w:rPr>
        <w:t>濮耐股份走私国家禁止进出口货物案刑事风险与合规启示</w:t>
      </w:r>
    </w:p>
    <w:p w14:paraId="36C79B9C">
      <w:pPr>
        <w:rPr>
          <w:rFonts w:hint="default" w:ascii="var(--dsw-font-markdown-h1)" w:hAnsi="var(--dsw-font-markdown-h1)" w:eastAsia="var(--dsw-font-markdown-h1)" w:cs="var(--dsw-font-markdown-h1)"/>
          <w:i w:val="0"/>
          <w:iCs w:val="0"/>
          <w:caps w:val="0"/>
          <w:color w:val="0F1115"/>
          <w:spacing w:val="0"/>
          <w:sz w:val="40"/>
          <w:szCs w:val="40"/>
          <w:u w:val="none"/>
        </w:rPr>
      </w:pPr>
    </w:p>
    <w:p w14:paraId="72178E71">
      <w:pPr>
        <w:keepNext w:val="0"/>
        <w:keepLines w:val="0"/>
        <w:pageBreakBefore w:val="0"/>
        <w:kinsoku/>
        <w:wordWrap/>
        <w:overflowPunct/>
        <w:topLinePunct w:val="0"/>
        <w:autoSpaceDE/>
        <w:autoSpaceDN/>
        <w:bidi w:val="0"/>
        <w:adjustRightInd w:val="0"/>
        <w:snapToGrid w:val="0"/>
        <w:spacing w:line="360" w:lineRule="auto"/>
        <w:ind w:left="0" w:leftChars="0" w:firstLine="600" w:firstLineChars="200"/>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所在</w:t>
      </w:r>
      <w:r>
        <w:rPr>
          <w:rFonts w:hint="eastAsia" w:ascii="仿宋" w:hAnsi="仿宋" w:eastAsia="仿宋" w:cs="仿宋"/>
          <w:sz w:val="30"/>
          <w:szCs w:val="30"/>
          <w:lang w:eastAsia="zh-CN"/>
        </w:rPr>
        <w:t>单位：</w:t>
      </w:r>
      <w:r>
        <w:rPr>
          <w:rFonts w:hint="eastAsia" w:ascii="仿宋" w:hAnsi="仿宋" w:eastAsia="仿宋" w:cs="仿宋"/>
          <w:sz w:val="30"/>
          <w:szCs w:val="30"/>
          <w:lang w:val="en-US" w:eastAsia="zh-CN"/>
        </w:rPr>
        <w:t>上海德禾翰通律师事务所</w:t>
      </w:r>
    </w:p>
    <w:p w14:paraId="4FA4C9A1">
      <w:pPr>
        <w:ind w:firstLine="3600" w:firstLineChars="1200"/>
        <w:rPr>
          <w:rFonts w:hint="default" w:ascii="var(--dsw-font-markdown-h1)" w:hAnsi="var(--dsw-font-markdown-h1)" w:eastAsia="var(--dsw-font-markdown-h1)" w:cs="var(--dsw-font-markdown-h1)"/>
          <w:i w:val="0"/>
          <w:iCs w:val="0"/>
          <w:caps w:val="0"/>
          <w:color w:val="0F1115"/>
          <w:spacing w:val="0"/>
          <w:sz w:val="40"/>
          <w:szCs w:val="40"/>
          <w:u w:val="none"/>
          <w:lang w:val="en-US"/>
        </w:rPr>
      </w:pPr>
      <w:r>
        <w:rPr>
          <w:rFonts w:hint="eastAsia" w:ascii="仿宋" w:hAnsi="仿宋" w:eastAsia="仿宋" w:cs="仿宋"/>
          <w:sz w:val="30"/>
          <w:szCs w:val="30"/>
          <w:lang w:eastAsia="zh-CN"/>
        </w:rPr>
        <w:t>作者：</w:t>
      </w:r>
      <w:r>
        <w:rPr>
          <w:rFonts w:hint="eastAsia" w:ascii="仿宋" w:hAnsi="仿宋" w:eastAsia="仿宋" w:cs="仿宋"/>
          <w:sz w:val="30"/>
          <w:szCs w:val="30"/>
          <w:lang w:val="en-US" w:eastAsia="zh-CN"/>
        </w:rPr>
        <w:t>李佳</w:t>
      </w:r>
      <w:bookmarkStart w:id="0" w:name="_GoBack"/>
      <w:bookmarkEnd w:id="0"/>
    </w:p>
    <w:p w14:paraId="4480BDD7">
      <w:pPr>
        <w:pStyle w:val="3"/>
        <w:keepNext w:val="0"/>
        <w:keepLines w:val="0"/>
        <w:widowControl/>
        <w:suppressLineNumbers w:val="0"/>
        <w:spacing w:before="640" w:beforeAutospacing="0" w:after="320" w:afterAutospacing="0"/>
        <w:ind w:left="0" w:right="0" w:firstLine="0"/>
        <w:jc w:val="both"/>
        <w:rPr>
          <w:rFonts w:ascii="var(--dsw-font-markdown-h2)" w:hAnsi="var(--dsw-font-markdown-h2)" w:eastAsia="var(--dsw-font-markdown-h2)" w:cs="var(--dsw-font-markdown-h2)"/>
          <w:i w:val="0"/>
          <w:iCs w:val="0"/>
          <w:caps w:val="0"/>
          <w:color w:val="0F1115"/>
          <w:spacing w:val="0"/>
          <w:u w:val="none"/>
        </w:rPr>
      </w:pPr>
      <w:r>
        <w:rPr>
          <w:rFonts w:hint="default" w:ascii="var(--dsw-font-markdown-h2)" w:hAnsi="var(--dsw-font-markdown-h2)" w:eastAsia="var(--dsw-font-markdown-h2)" w:cs="var(--dsw-font-markdown-h2)"/>
          <w:i w:val="0"/>
          <w:iCs w:val="0"/>
          <w:caps w:val="0"/>
          <w:color w:val="0F1115"/>
          <w:spacing w:val="0"/>
          <w:u w:val="none"/>
        </w:rPr>
        <w:t>一、案例导读</w:t>
      </w:r>
    </w:p>
    <w:p w14:paraId="4A21EF90">
      <w:pPr>
        <w:pStyle w:val="8"/>
        <w:keepNext w:val="0"/>
        <w:keepLines w:val="0"/>
        <w:widowControl/>
        <w:suppressLineNumbers w:val="0"/>
        <w:spacing w:before="320" w:beforeAutospacing="0" w:after="320" w:afterAutospacing="0"/>
        <w:ind w:left="0" w:right="0" w:firstLine="0"/>
        <w:jc w:val="both"/>
        <w:rPr>
          <w:rFonts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关键词</w:t>
      </w:r>
      <w:r>
        <w:rPr>
          <w:rFonts w:hint="default" w:ascii="Helvetica Neue" w:hAnsi="Helvetica Neue" w:eastAsia="Helvetica Neue" w:cs="Helvetica Neue"/>
          <w:i w:val="0"/>
          <w:iCs w:val="0"/>
          <w:caps w:val="0"/>
          <w:color w:val="0F1115"/>
          <w:spacing w:val="0"/>
          <w:sz w:val="32"/>
          <w:szCs w:val="32"/>
          <w:u w:val="none"/>
        </w:rPr>
        <w:t>：出口管制；天然鳞片石墨；伪报税则号列；走私国家禁止进出口货物罪；单位犯罪</w:t>
      </w:r>
    </w:p>
    <w:p w14:paraId="49E3AC96">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裁决要旨</w:t>
      </w:r>
      <w:r>
        <w:rPr>
          <w:rFonts w:hint="default" w:ascii="Helvetica Neue" w:hAnsi="Helvetica Neue" w:eastAsia="Helvetica Neue" w:cs="Helvetica Neue"/>
          <w:i w:val="0"/>
          <w:iCs w:val="0"/>
          <w:caps w:val="0"/>
          <w:color w:val="0F1115"/>
          <w:spacing w:val="0"/>
          <w:sz w:val="32"/>
          <w:szCs w:val="32"/>
          <w:u w:val="none"/>
        </w:rPr>
        <w:t>：涉案企业及其管理人员在明知天然鳞片石墨已被纳入出口管制范围的情况下，接受第三方物流公司建议，将本应申领许可证的管制物项伪报为无需许可证的税号进行申报出口，累计出口1243.55吨。检察机关认定，该行为属于“以伪报品名方式逃避两用物项和技术出口许可监管”，符合走私国家禁止进出口货物罪的构成要件，应当追究刑事责任。</w:t>
      </w:r>
    </w:p>
    <w:p w14:paraId="464F13CE">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典型意义</w:t>
      </w:r>
      <w:r>
        <w:rPr>
          <w:rFonts w:hint="default" w:ascii="Helvetica Neue" w:hAnsi="Helvetica Neue" w:eastAsia="Helvetica Neue" w:cs="Helvetica Neue"/>
          <w:i w:val="0"/>
          <w:iCs w:val="0"/>
          <w:caps w:val="0"/>
          <w:color w:val="0F1115"/>
          <w:spacing w:val="0"/>
          <w:sz w:val="32"/>
          <w:szCs w:val="32"/>
          <w:u w:val="none"/>
        </w:rPr>
        <w:t>：本案系2023年12月中国对天然鳞片石墨实施出口管制以来，首例进入刑事起诉阶段的重大案件，具有三重典型意义：其一，本案揭示了“善意依赖第三方建议”不能作为免除刑事责任的抗辩理由；其二，本案明确了两用物项出口管制中“明知或应知”的主观认定标准；其三，本案的“全链条追责”模式（同时追究单位和直接责任人）为后续出口管制执法提供了重要参照。</w:t>
      </w:r>
    </w:p>
    <w:p w14:paraId="13AD596F">
      <w:pPr>
        <w:pStyle w:val="3"/>
        <w:keepNext w:val="0"/>
        <w:keepLines w:val="0"/>
        <w:widowControl/>
        <w:suppressLineNumbers w:val="0"/>
        <w:spacing w:before="640" w:beforeAutospacing="0" w:after="320" w:afterAutospacing="0"/>
        <w:ind w:left="0" w:right="0" w:firstLine="0"/>
        <w:jc w:val="both"/>
        <w:rPr>
          <w:rFonts w:hint="default" w:ascii="var(--dsw-font-markdown-h2)" w:hAnsi="var(--dsw-font-markdown-h2)" w:eastAsia="var(--dsw-font-markdown-h2)" w:cs="var(--dsw-font-markdown-h2)"/>
          <w:i w:val="0"/>
          <w:iCs w:val="0"/>
          <w:caps w:val="0"/>
          <w:color w:val="0F1115"/>
          <w:spacing w:val="0"/>
          <w:u w:val="none"/>
        </w:rPr>
      </w:pPr>
      <w:r>
        <w:rPr>
          <w:rFonts w:hint="default" w:ascii="var(--dsw-font-markdown-h2)" w:hAnsi="var(--dsw-font-markdown-h2)" w:eastAsia="var(--dsw-font-markdown-h2)" w:cs="var(--dsw-font-markdown-h2)"/>
          <w:i w:val="0"/>
          <w:iCs w:val="0"/>
          <w:caps w:val="0"/>
          <w:color w:val="0F1115"/>
          <w:spacing w:val="0"/>
          <w:u w:val="none"/>
        </w:rPr>
        <w:t>二、案情背景</w:t>
      </w:r>
    </w:p>
    <w:p w14:paraId="519C1EC1">
      <w:pPr>
        <w:pStyle w:val="4"/>
        <w:keepNext w:val="0"/>
        <w:keepLines w:val="0"/>
        <w:widowControl/>
        <w:suppressLineNumbers w:val="0"/>
        <w:spacing w:before="640" w:beforeAutospacing="0" w:after="320" w:afterAutospacing="0"/>
        <w:ind w:left="0" w:right="0" w:firstLine="0"/>
        <w:jc w:val="both"/>
        <w:rPr>
          <w:rFonts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（一）管制政策的出台</w:t>
      </w:r>
    </w:p>
    <w:p w14:paraId="55B105FC">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2023年10月20日，商务部、海关总署联合发布《关于优化调整石墨物项临时出口管制措施的公告》（2023年第39号），决定自2023年12月1日起，将天然鳞片石墨及其制品（包含球化石墨、膨胀石墨等）正式纳入两用物项出口管制清单。根据公告要求，出口经营者须按规定办理相关手续并取得商务部颁发的两用物项和技术出口许可证件后方可开展出口业务。</w:t>
      </w:r>
    </w:p>
    <w:p w14:paraId="1CD20289">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天然鳞片石墨之所以被纳入管制范围，与其战略价值密切相关。在国际层面，“三高”（高纯度、高强度、高密度）石墨具有军事用途，可用于弹道导弹鼻锥等航天及军事领域。中国作为全球最大的石墨生产国和出口国，对特定石墨物项实施出口管制是履行国际防扩散义务的体现，也是国际通行做法。</w:t>
      </w:r>
    </w:p>
    <w:p w14:paraId="3D073990">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（二）涉案主体与原有业务模式</w:t>
      </w:r>
    </w:p>
    <w:p w14:paraId="4D05EFB6">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濮耐股份（证券代码：002225）是一家从事耐火材料生产的上市公司，其全资子公司濮耐美国股份有限公司等海外实体从事镁碳砖的生产。在2023年10月管制政策出台前，濮耐股份一直使用税则号列2504101000申报出口天然鳞片石墨，作为生产镁碳砖的原料发往海外子公司。</w:t>
      </w:r>
    </w:p>
    <w:p w14:paraId="1762600A">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（三）违规行为的演变过程</w:t>
      </w:r>
    </w:p>
    <w:p w14:paraId="3281421D">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根据营口市人民检察院《起诉书》披露的事实，违规行为经历了清晰的演变路径：</w:t>
      </w:r>
    </w:p>
    <w:p w14:paraId="564D8AA2">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第一阶段（2023年11月）</w:t>
      </w:r>
      <w:r>
        <w:rPr>
          <w:rFonts w:hint="default" w:ascii="Helvetica Neue" w:hAnsi="Helvetica Neue" w:eastAsia="Helvetica Neue" w:cs="Helvetica Neue"/>
          <w:i w:val="0"/>
          <w:iCs w:val="0"/>
          <w:caps w:val="0"/>
          <w:color w:val="0F1115"/>
          <w:spacing w:val="0"/>
          <w:sz w:val="32"/>
          <w:szCs w:val="32"/>
          <w:u w:val="none"/>
        </w:rPr>
        <w:t>：管制政策宣布后、正式生效前的过渡期内，濮耐股份钢铁事业部副总经理兼海外营销部部长祁长生、海外营销部副部长孟秋凤、海外营销部单证科科长姚书阳三人，为满足海外子公司生产需求，安排出口一批天然鳞片石墨。在此期间，三人接受万华物流法定代表人王丽波的“建议”，改用管制前后均无需出口许可证的“其他粉末状天然石墨”对应的税则号列2504109900进行申报。</w:t>
      </w:r>
    </w:p>
    <w:p w14:paraId="40405140">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第二阶段（2024年4月至2025年3月）</w:t>
      </w:r>
      <w:r>
        <w:rPr>
          <w:rFonts w:hint="default" w:ascii="Helvetica Neue" w:hAnsi="Helvetica Neue" w:eastAsia="Helvetica Neue" w:cs="Helvetica Neue"/>
          <w:i w:val="0"/>
          <w:iCs w:val="0"/>
          <w:caps w:val="0"/>
          <w:color w:val="0F1115"/>
          <w:spacing w:val="0"/>
          <w:sz w:val="32"/>
          <w:szCs w:val="32"/>
          <w:u w:val="none"/>
        </w:rPr>
        <w:t>：上述三人继续默认、纵容并委托万华物流沿用该错误税则号完成申报及查验流程，累计违规出口天然鳞片石墨共计1243.55吨，其中通过万华物流申报的数量为890.80吨，所有货物均发往海外全资子公司。</w:t>
      </w:r>
    </w:p>
    <w:p w14:paraId="142D6562">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（四）案发与追诉进程</w:t>
      </w:r>
    </w:p>
    <w:p w14:paraId="438D25E0">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该案由鲅鱼圈海关缉私分局侦查终结。2025年5月至9月期间，祁长生、孟秋凤、姚书阳、王丽波四名被告人被依法执行逮捕。2026年4月24日，濮耐股份公告收到营口市人民检察院出具的《起诉书》，被告单位包括濮耐股份与万华物流，被告人包括前述三名濮耐股份管理人员及万华物流法定代表人。</w:t>
      </w:r>
    </w:p>
    <w:p w14:paraId="3E195022">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检察机关认定，涉案被告单位及被告人违反海关法规，未经许可，采用伪报品名的方式逃避两用物项和技术出口许可监管，将天然鳞片石墨走私出口，情节严重，应当以走私国家禁止进出口的货物罪追究其刑事责任。</w:t>
      </w:r>
    </w:p>
    <w:p w14:paraId="22D09064">
      <w:pPr>
        <w:pStyle w:val="3"/>
        <w:keepNext w:val="0"/>
        <w:keepLines w:val="0"/>
        <w:widowControl/>
        <w:suppressLineNumbers w:val="0"/>
        <w:spacing w:before="640" w:beforeAutospacing="0" w:after="320" w:afterAutospacing="0"/>
        <w:ind w:left="0" w:right="0" w:firstLine="0"/>
        <w:jc w:val="both"/>
        <w:rPr>
          <w:rFonts w:hint="default" w:ascii="var(--dsw-font-markdown-h2)" w:hAnsi="var(--dsw-font-markdown-h2)" w:eastAsia="var(--dsw-font-markdown-h2)" w:cs="var(--dsw-font-markdown-h2)"/>
          <w:i w:val="0"/>
          <w:iCs w:val="0"/>
          <w:caps w:val="0"/>
          <w:color w:val="0F1115"/>
          <w:spacing w:val="0"/>
          <w:u w:val="none"/>
        </w:rPr>
      </w:pPr>
      <w:r>
        <w:rPr>
          <w:rFonts w:hint="default" w:ascii="var(--dsw-font-markdown-h2)" w:hAnsi="var(--dsw-font-markdown-h2)" w:eastAsia="var(--dsw-font-markdown-h2)" w:cs="var(--dsw-font-markdown-h2)"/>
          <w:i w:val="0"/>
          <w:iCs w:val="0"/>
          <w:caps w:val="0"/>
          <w:color w:val="0F1115"/>
          <w:spacing w:val="0"/>
          <w:u w:val="none"/>
        </w:rPr>
        <w:t>三、核心争议焦点及结果</w:t>
      </w:r>
    </w:p>
    <w:p w14:paraId="6BF981AB">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本案在出口管制执法实践中具有标杆意义，其中涉及的若干法律问题值得深入剖析。</w:t>
      </w:r>
    </w:p>
    <w:p w14:paraId="00B3386C">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（一）争议焦点一：“接受第三方建议”能否阻却犯罪故意</w:t>
      </w:r>
    </w:p>
    <w:p w14:paraId="6D781FA4">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法律问题分析</w:t>
      </w:r>
      <w:r>
        <w:rPr>
          <w:rFonts w:hint="default" w:ascii="Helvetica Neue" w:hAnsi="Helvetica Neue" w:eastAsia="Helvetica Neue" w:cs="Helvetica Neue"/>
          <w:i w:val="0"/>
          <w:iCs w:val="0"/>
          <w:caps w:val="0"/>
          <w:color w:val="0F1115"/>
          <w:spacing w:val="0"/>
          <w:sz w:val="32"/>
          <w:szCs w:val="32"/>
          <w:u w:val="none"/>
        </w:rPr>
        <w:t>：本案中，濮耐股份相关管理人员提出，采用税则号列2504109900申报系“接受万华物流建议”，主观上不存在逃避监管的故意。这一抗辩理由涉及《刑法》中犯罪故意的认定问题。</w:t>
      </w:r>
    </w:p>
    <w:p w14:paraId="0CA44268">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根据《刑法》第十四条，明知自己的行为会发生危害社会的结果，并且希望或者放任这种结果发生，即构成故意犯罪。在本案语境下，“故意”体现为对“未经许可出口管制物项”这一核心事实的明知与放任。检察机关认定，被告人在2023年11月首次采用错误税号申报时，管制政策已经公布但尚未生效，此时被告人客观上知晓天然鳞片石墨即将被纳入管制范围；在此背景下接受“改用无需许可证税号”的建议，主观上具有规避监管的故意。</w:t>
      </w:r>
    </w:p>
    <w:p w14:paraId="6BAF1F35">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值得关注的是，《最高人民法院、最高人民检察院关于办理走私刑事案件适用法律若干问题的解释》（法释〔2014〕10号）第二十一条规定，“未经许可进出口国家限制进出口的货物、物品，构成犯罪的，应当依照刑法第一百五十一条、第一百五十二条的规定，以走私国家禁止进出口的货物、物品罪等罪名定罪处罚”。这一规定表明，是否“明知”管制状态，是认定犯罪的关键——而“明知”既包括实际知道，也包括应当知道。案发时管制政策已公开发布，作为专业从事国际贸易的上市公司，被告人没有理由不知晓相关监管要求。</w:t>
      </w:r>
    </w:p>
    <w:p w14:paraId="60FA3FF2">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案例结果</w:t>
      </w:r>
      <w:r>
        <w:rPr>
          <w:rFonts w:hint="default" w:ascii="Helvetica Neue" w:hAnsi="Helvetica Neue" w:eastAsia="Helvetica Neue" w:cs="Helvetica Neue"/>
          <w:i w:val="0"/>
          <w:iCs w:val="0"/>
          <w:caps w:val="0"/>
          <w:color w:val="0F1115"/>
          <w:spacing w:val="0"/>
          <w:sz w:val="32"/>
          <w:szCs w:val="32"/>
          <w:u w:val="none"/>
        </w:rPr>
        <w:t>：检察机关未采纳“接受第三方建议”的抗辩，将三名濮耐股份管理人员与万华物流法定代表人一并列为被告人追究刑事责任。</w:t>
      </w:r>
    </w:p>
    <w:p w14:paraId="4F7B05C7">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（二）争议焦点二：出口至“海外全资子公司”是否影响违法性认定</w:t>
      </w:r>
    </w:p>
    <w:p w14:paraId="0AB1E1DD">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法律问题分析</w:t>
      </w:r>
      <w:r>
        <w:rPr>
          <w:rFonts w:hint="default" w:ascii="Helvetica Neue" w:hAnsi="Helvetica Neue" w:eastAsia="Helvetica Neue" w:cs="Helvetica Neue"/>
          <w:i w:val="0"/>
          <w:iCs w:val="0"/>
          <w:caps w:val="0"/>
          <w:color w:val="0F1115"/>
          <w:spacing w:val="0"/>
          <w:sz w:val="32"/>
          <w:szCs w:val="32"/>
          <w:u w:val="none"/>
        </w:rPr>
        <w:t>：本案另一个值得关注的情节是，涉案货物全部发往濮耐股份的海外全资子公司，而非向境外第三方销售。部分观点可能认为，货物“自用”而非“销售”，违法性有所降低。</w:t>
      </w:r>
    </w:p>
    <w:p w14:paraId="28FDE091">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然而，从出口管制法律体系的角度审视，这一观点缺乏法律依据。《出口管制法》第二条明确规定，出口管制适用于“从中华人民共和国境内向境外转移管制物项”的行为，并未将交易对象是否为关联方作为例外情形予以排除。无论受让方是独立第三方还是关联主体，只要涉及管制物项的跨境转移，均需依法申领许可证。</w:t>
      </w:r>
    </w:p>
    <w:p w14:paraId="38130534">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更进一步而言，根据《两用物项出口管制条例》的规定，出口经营者对最终用户和最终用途负有持续的审查义务。即使物项发给境外子公司，也需确保其用途符合许可条件。本案中，被告人将管制物项伪报为非管制税号出口，客观上剥夺了监管部门对最终用途进行审查和许可的可能性，无论货物最终流向何方，均不影响违法行为的成立。</w:t>
      </w:r>
    </w:p>
    <w:p w14:paraId="56A22A39">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案例结果</w:t>
      </w:r>
      <w:r>
        <w:rPr>
          <w:rFonts w:hint="default" w:ascii="Helvetica Neue" w:hAnsi="Helvetica Neue" w:eastAsia="Helvetica Neue" w:cs="Helvetica Neue"/>
          <w:i w:val="0"/>
          <w:iCs w:val="0"/>
          <w:caps w:val="0"/>
          <w:color w:val="0F1115"/>
          <w:spacing w:val="0"/>
          <w:sz w:val="32"/>
          <w:szCs w:val="32"/>
          <w:u w:val="none"/>
        </w:rPr>
        <w:t>：检察机关未将“出口至海外子公司”作为出罪情节，涉案货物性质被认定为走私出口。</w:t>
      </w:r>
    </w:p>
    <w:p w14:paraId="24E31154">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（三）争议焦点三：单位犯罪与个人责任的“双轨追责”</w:t>
      </w:r>
    </w:p>
    <w:p w14:paraId="3F402C8A">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法律问题分析</w:t>
      </w:r>
      <w:r>
        <w:rPr>
          <w:rFonts w:hint="default" w:ascii="Helvetica Neue" w:hAnsi="Helvetica Neue" w:eastAsia="Helvetica Neue" w:cs="Helvetica Neue"/>
          <w:i w:val="0"/>
          <w:iCs w:val="0"/>
          <w:caps w:val="0"/>
          <w:color w:val="0F1115"/>
          <w:spacing w:val="0"/>
          <w:sz w:val="32"/>
          <w:szCs w:val="32"/>
          <w:u w:val="none"/>
        </w:rPr>
        <w:t>：本案涉及两个层面的追责——单位犯罪层面和自然人犯罪层面。根据《刑法》第三十条、第三十一条的规定，单位犯罪的，对单位判处罚金，并对其直接负责的主管人员和其他直接责任人员判处刑罚。</w:t>
      </w:r>
    </w:p>
    <w:p w14:paraId="547DB448">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在本案中，检察机关的追诉逻辑体现了“全链条追责”的特点：在单位层面，濮耐股份作为出口经营主体、万华物流作为申报服务提供方，均被列为被告单位；在个人层面，濮耐股份三名管理人员（事业部副总经理、海外营销部部长、单证科科长）分别对应“决策—执行—操作”三个层级，万华物流法定代表人则作为第三方服务提供方的代表被追诉。</w:t>
      </w:r>
    </w:p>
    <w:p w14:paraId="39585002">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这种追责模式的典型意义在于：它不仅指向了作为出口主体的企业，也穿透至企业内部各层级管理人员，还延伸至协助规避监管的第三方服务商。这一模式对出口贸易中的中介服务机构（如货代、报关行）提出了明确的合规警示——帮助客户规避出口管制同样面临刑事追责风险。</w:t>
      </w:r>
    </w:p>
    <w:p w14:paraId="5D691CF1">
      <w:pPr>
        <w:pStyle w:val="8"/>
        <w:keepNext w:val="0"/>
        <w:keepLines w:val="0"/>
        <w:widowControl/>
        <w:suppressLineNumbers w:val="0"/>
        <w:spacing w:before="320" w:beforeAutospacing="0" w:after="320" w:afterAutospacing="0"/>
        <w:ind w:left="0" w:right="0" w:firstLine="641"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案例结果</w:t>
      </w:r>
      <w:r>
        <w:rPr>
          <w:rFonts w:hint="default" w:ascii="Helvetica Neue" w:hAnsi="Helvetica Neue" w:eastAsia="Helvetica Neue" w:cs="Helvetica Neue"/>
          <w:i w:val="0"/>
          <w:iCs w:val="0"/>
          <w:caps w:val="0"/>
          <w:color w:val="0F1115"/>
          <w:spacing w:val="0"/>
          <w:sz w:val="32"/>
          <w:szCs w:val="32"/>
          <w:u w:val="none"/>
        </w:rPr>
        <w:t>：本案共涉及两个被告单位和四名自然人被告人，均被以走私国家禁止进出口的货物罪追究刑事责任。</w:t>
      </w:r>
    </w:p>
    <w:p w14:paraId="6654F0E9">
      <w:pPr>
        <w:pStyle w:val="3"/>
        <w:keepNext w:val="0"/>
        <w:keepLines w:val="0"/>
        <w:widowControl/>
        <w:suppressLineNumbers w:val="0"/>
        <w:spacing w:before="640" w:beforeAutospacing="0" w:after="320" w:afterAutospacing="0"/>
        <w:ind w:left="0" w:right="0" w:firstLine="0"/>
        <w:jc w:val="both"/>
        <w:rPr>
          <w:rFonts w:hint="default" w:ascii="var(--dsw-font-markdown-h2)" w:hAnsi="var(--dsw-font-markdown-h2)" w:eastAsia="var(--dsw-font-markdown-h2)" w:cs="var(--dsw-font-markdown-h2)"/>
          <w:i w:val="0"/>
          <w:iCs w:val="0"/>
          <w:caps w:val="0"/>
          <w:color w:val="0F1115"/>
          <w:spacing w:val="0"/>
          <w:u w:val="none"/>
        </w:rPr>
      </w:pPr>
      <w:r>
        <w:rPr>
          <w:rFonts w:hint="default" w:ascii="var(--dsw-font-markdown-h2)" w:hAnsi="var(--dsw-font-markdown-h2)" w:eastAsia="var(--dsw-font-markdown-h2)" w:cs="var(--dsw-font-markdown-h2)"/>
          <w:i w:val="0"/>
          <w:iCs w:val="0"/>
          <w:caps w:val="0"/>
          <w:color w:val="0F1115"/>
          <w:spacing w:val="0"/>
          <w:u w:val="none"/>
        </w:rPr>
        <w:t>四、案例评析</w:t>
      </w:r>
    </w:p>
    <w:p w14:paraId="575D6803">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（一）“主观故意”认定的扩张趋势</w:t>
      </w:r>
    </w:p>
    <w:p w14:paraId="0781EA32">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在主观故意的认定上体现了司法机关“以客观行为推定主观意图”的裁判逻辑。被告人虽然在首次申报时“接受第三方建议”，但后续长达11个月（2024年4月至2025年3月）的持续违规出口行为——包括默认、纵容并委托万华物流沿用错误税号——成为推定其具有“放任”心态的关键事实。这一认定逻辑意味着，企业不能以“首次系失误”为由，对后续持续违规行为主张免责；一旦发现申报错误，立即纠错和主动披露成为阻断犯罪故意的必要举措。</w:t>
      </w:r>
    </w:p>
    <w:p w14:paraId="211BCB04">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（二）“伪报税号”行为的定性突破</w:t>
      </w:r>
    </w:p>
    <w:p w14:paraId="60D3668F">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从法律定性角度看，本案的核心行为是“以伪报品名方式逃避两用物项和技术出口许可监管”。这一行为的法律性质值得深入剖析：税则号列（HS编码）本身并非管制属性的决定因素，物项是否受管制取决于其技术规格是否符合管制清单的描述。</w:t>
      </w:r>
    </w:p>
    <w:p w14:paraId="6D996ADC">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在本案中，25041010（天然鳞片石墨）与2504109900（其他粉末状天然石墨）在商品描述上具有高度相似性，但管制属性截然不同——前者自2023年12月1日起需申领许可证，后者则无此要求。通过将管制物项“套用”非管制税号申报，本质上是以形式合规掩盖实质违规。</w:t>
      </w:r>
    </w:p>
    <w:p w14:paraId="584D228B">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这种“伪报税号”行为与传统走私行为的区别在于：行为人并非通过夹藏、瞒报等方式完全逃避海关监管，而是在申报系统中留下“痕迹”，只是通过不实的信息使监管部门无法识别物项的真实属性。这种“在系统内规避系统”的做法，在执法实践中同样被认定为走私行为。</w:t>
      </w:r>
    </w:p>
    <w:p w14:paraId="03C52011">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（三）第三方服务提供方的责任边界</w:t>
      </w:r>
    </w:p>
    <w:p w14:paraId="3D26655A">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将万华物流及其法定代表人列为被告，标志着出口管制执法开始关注“协助规避”行为的法律责任。在出口贸易链条中，货代、报关行等第三方服务提供方往往掌握专业知识和操作经验，企业对其建议的“善意信赖”并不当然免除自身的合规审查义务。</w:t>
      </w:r>
    </w:p>
    <w:p w14:paraId="4E691006">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更重要的是，本案对第三方服务方释放了明确信号：明知客户出口货物属于管制物项，仍提供规避监管的申报建议或操作，可能构成走私犯罪的共犯。这一责任边界的划定，将推动出口服务行业建立更为严格的客户尽职调查和合规审查机制。</w:t>
      </w:r>
    </w:p>
    <w:p w14:paraId="258EC4BF">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（四）案件审理程序的特殊性</w:t>
      </w:r>
    </w:p>
    <w:p w14:paraId="3054FF49">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截至2026年5月，本案仍处于“已收到起诉书但尚未收到法院传票”的阶段。这一程序状态值得关注：从2025年5-9月执行逮捕，到2026年4月提起公诉，再到目前等待法院排期审理，案件推进周期较长。这既可能与案件涉及的专业技术问题（如物项归类、技术参数认定）有关，也反映出出口管制类刑事案件在司法实践中仍处于探索阶段，检察机关和法院在事实认定和法律适用上需要更为审慎的审查。</w:t>
      </w:r>
    </w:p>
    <w:p w14:paraId="36E0F71E">
      <w:pPr>
        <w:pStyle w:val="3"/>
        <w:keepNext w:val="0"/>
        <w:keepLines w:val="0"/>
        <w:widowControl/>
        <w:suppressLineNumbers w:val="0"/>
        <w:spacing w:before="640" w:beforeAutospacing="0" w:after="320" w:afterAutospacing="0"/>
        <w:ind w:left="0" w:right="0" w:firstLine="0"/>
        <w:jc w:val="both"/>
        <w:rPr>
          <w:rFonts w:hint="default" w:ascii="var(--dsw-font-markdown-h2)" w:hAnsi="var(--dsw-font-markdown-h2)" w:eastAsia="var(--dsw-font-markdown-h2)" w:cs="var(--dsw-font-markdown-h2)"/>
          <w:i w:val="0"/>
          <w:iCs w:val="0"/>
          <w:caps w:val="0"/>
          <w:color w:val="0F1115"/>
          <w:spacing w:val="0"/>
          <w:u w:val="none"/>
        </w:rPr>
      </w:pPr>
      <w:r>
        <w:rPr>
          <w:rFonts w:hint="default" w:ascii="var(--dsw-font-markdown-h2)" w:hAnsi="var(--dsw-font-markdown-h2)" w:eastAsia="var(--dsw-font-markdown-h2)" w:cs="var(--dsw-font-markdown-h2)"/>
          <w:i w:val="0"/>
          <w:iCs w:val="0"/>
          <w:caps w:val="0"/>
          <w:color w:val="0F1115"/>
          <w:spacing w:val="0"/>
          <w:u w:val="none"/>
        </w:rPr>
        <w:t>五、价值和示范作用</w:t>
      </w:r>
    </w:p>
    <w:p w14:paraId="16F9EFCD">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（一）对中国出海企业的核心启示</w:t>
      </w:r>
    </w:p>
    <w:p w14:paraId="18E2D10D">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启示一：出口管制合规不能“依赖第三方”</w:t>
      </w:r>
    </w:p>
    <w:p w14:paraId="4F1BE770">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最为深刻的教训在于：濮耐股份的管理层在面临管制政策变化时，选择“接受货代建议”而非“咨询专业律师或向监管部门确认”。这一选择暴露了企业对出口管制合规的认知误区——将合规责任“外包”给第三方服务商。</w:t>
      </w:r>
    </w:p>
    <w:p w14:paraId="2C7850B2">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对企业而言，最终用户和最终用途的审查义务是法定的、不可转移的。《出口管制法》明确规定，出口经营者应当建立出口管制内部合规制度，对管制物项的出口进行实质性审查。第三方服务方的建议不能替代企业的自主审查义务，更不能成为免除责任的理由。建议出海企业建立“内部合规+外部专业支持”的双重保障机制，由内部合规部门负责日常审查，在遇到合规疑难问题时寻求专业律师意见，而非仅依赖货代或报关行的操作建议。</w:t>
      </w:r>
    </w:p>
    <w:p w14:paraId="73EA0BCF">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启示二：出口至“海外关联方”同样需要合规</w:t>
      </w:r>
    </w:p>
    <w:p w14:paraId="6D20615C">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涉及的货物流向是“母公司对海外子公司”的集团内部交易。这一事实提示出海企业：出口管制的适用不因交易对象是否为关联方而有所不同。将管制物项发往境外子公司用于内部生产，与向境外第三方销售一样，需要依法申领许可证。</w:t>
      </w:r>
    </w:p>
    <w:p w14:paraId="3EF9F1E5">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对于在海外布局生产基地或销售网络的企业而言，这一规则具有普遍适用性。无论是向境外子公司出口生产设备、原材料，还是向境外研发中心转移技术资料，只要涉及管制物项，均需履行出口许可程序。所谓的“集团内部调拨”“样品出口”“测试用途”等名义，均不构成豁免出口管制的法定理由。</w:t>
      </w:r>
    </w:p>
    <w:p w14:paraId="64917113">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启示三：“持续违规”将加重法律责任</w:t>
      </w:r>
    </w:p>
    <w:p w14:paraId="2B9652D3">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从本案违规行为的演进过程来看，从2023年11月“首次采用错误税号”，到2024年4月至2025年3月的“持续违规出口”，历时逾一年。这一持续性特征对案件定性的影响不容忽视：如果企业在首次发现申报错误后主动纠错并向海关报告，案件可能停留在行政处罚层面；而持续11个月的违规行为，使执法机关有充分理由推定企业具有主观故意，从而将案件推向刑事追诉。</w:t>
      </w:r>
    </w:p>
    <w:p w14:paraId="286F57B4">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对出海企业而言，这一教训提示：出口管制合规不是“一次性工作”，而是需要持续监控的动态管理过程。企业应当建立出口管制合规的动态核查机制，对历史申报记录进行定期回溯审查，一旦发现异常及时启动主动披露程序。</w:t>
      </w:r>
    </w:p>
    <w:p w14:paraId="27511546">
      <w:pPr>
        <w:pStyle w:val="4"/>
        <w:keepNext w:val="0"/>
        <w:keepLines w:val="0"/>
        <w:widowControl/>
        <w:suppressLineNumbers w:val="0"/>
        <w:spacing w:before="640" w:beforeAutospacing="0" w:after="320" w:afterAutospacing="0"/>
        <w:ind w:left="0" w:right="0" w:firstLine="0"/>
        <w:jc w:val="both"/>
        <w:rPr>
          <w:rFonts w:hint="default" w:ascii="var(--dsw-font-markdown-h3)" w:hAnsi="var(--dsw-font-markdown-h3)" w:eastAsia="var(--dsw-font-markdown-h3)" w:cs="var(--dsw-font-markdown-h3)"/>
          <w:i w:val="0"/>
          <w:iCs w:val="0"/>
          <w:caps w:val="0"/>
          <w:color w:val="0F1115"/>
          <w:spacing w:val="0"/>
          <w:u w:val="none"/>
        </w:rPr>
      </w:pPr>
      <w:r>
        <w:rPr>
          <w:rFonts w:hint="default" w:ascii="var(--dsw-font-markdown-h3)" w:hAnsi="var(--dsw-font-markdown-h3)" w:eastAsia="var(--dsw-font-markdown-h3)" w:cs="var(--dsw-font-markdown-h3)"/>
          <w:i w:val="0"/>
          <w:iCs w:val="0"/>
          <w:caps w:val="0"/>
          <w:color w:val="0F1115"/>
          <w:spacing w:val="0"/>
          <w:u w:val="none"/>
        </w:rPr>
        <w:t>（二）风险防范建议</w:t>
      </w:r>
    </w:p>
    <w:p w14:paraId="4EDB5C37">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建议一：建立管制清单动态追踪机制</w:t>
      </w:r>
    </w:p>
    <w:p w14:paraId="2641F945">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管制清单的更新具有突发性特点。本案中，2023年10月20日公告发布，2023年12月1日正式生效，窗口期仅40天。企业若未能在政策生效前完成内部合规调整，极易在政策过渡期产生违规风险。</w:t>
      </w:r>
    </w:p>
    <w:p w14:paraId="203807C8">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建议企业建立管制清单的动态追踪机制，指定专人负责跟踪商务部、海关总署的公告动态，并建立“政策发布-影响评估-内部传达-操作调整”的标准作业流程。对于列入管制清单的物项，应在生效日前完成许可证申领或供应链调整。</w:t>
      </w:r>
    </w:p>
    <w:p w14:paraId="23F38164">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建议二：实施“技术参数驱动”的物项筛查</w:t>
      </w:r>
    </w:p>
    <w:p w14:paraId="2BFE2CF0">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管制属性取决于物项的技术规格是否“落入”管制清单的描述范围，而非申报的HS编码。本案中，若企业仅凭“产品名称”或“常规用途”判断管制属性，极易产生误判。</w:t>
      </w:r>
    </w:p>
    <w:p w14:paraId="6D5CE8D1">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建议企业建立基于产品技术规格的物项筛查机制，将出口产品的技术参数（如成分含量、纯度、强度、密度等）与管制清单的技术指标进行逐项比对，而非仅依赖海关商品编号进行判断。对于技术参数处于管制阈值边缘的产品，建议申请商品归类预裁定或向监管部门进行合规咨询。</w:t>
      </w:r>
    </w:p>
    <w:p w14:paraId="612F806A">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建议三：强化管理层及业务人员的合规培训</w:t>
      </w:r>
    </w:p>
    <w:p w14:paraId="3453CB1A">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被追究刑事责任的个人包括事业部副总经理、海外营销部部长和单证科科长，覆盖了从决策到执行的各个层级。这一追责范围提示企业：出口管制合规培训不能仅限于法务部门或合规专员，而应覆盖所有可能接触出口业务的岗位。</w:t>
      </w:r>
    </w:p>
    <w:p w14:paraId="08F8E950">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建议企业制定分层分类的培训方案：对管理层，侧重法律责任边界和决策风险的教育；对业务人员，侧重管制清单识别、申报流程合规的实操培训；对新入职员工，将出口管制合规纳入入职必修课程。培训应当留存记录，以备监管部门核查。</w:t>
      </w:r>
    </w:p>
    <w:p w14:paraId="25DC3AFF">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建议四：建立“主动披露”与内部举报机制</w:t>
      </w:r>
    </w:p>
    <w:p w14:paraId="173FC1C2">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根据《海关法》及相关规定，企业在发现申报错误后主动向海关报告并配合调查的，可以作为从轻、减轻甚至免除处罚的情节。本案中，若企业在首次发现采用错误税号后即启动主动披露程序，后续刑事追诉或可避免。</w:t>
      </w:r>
    </w:p>
    <w:p w14:paraId="08E5E216">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建议企业建立内部合规举报渠道，鼓励员工在发现合规异常时及时上报。同时，制定主动披露的标准操作流程，确保在发现违规行为后能够在最短时间内以正确方式向监管部门报告。</w:t>
      </w:r>
    </w:p>
    <w:p w14:paraId="54ECAF32">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b/>
          <w:bCs/>
          <w:i w:val="0"/>
          <w:iCs w:val="0"/>
          <w:caps w:val="0"/>
          <w:color w:val="0F1115"/>
          <w:spacing w:val="0"/>
          <w:sz w:val="32"/>
          <w:szCs w:val="32"/>
          <w:u w:val="none"/>
        </w:rPr>
        <w:t>建议五：规范第三方服务商的选择与管理</w:t>
      </w:r>
    </w:p>
    <w:p w14:paraId="4CEE4033">
      <w:pPr>
        <w:pStyle w:val="8"/>
        <w:keepNext w:val="0"/>
        <w:keepLines w:val="0"/>
        <w:widowControl/>
        <w:suppressLineNumbers w:val="0"/>
        <w:spacing w:before="320" w:beforeAutospacing="0" w:after="320" w:afterAutospacing="0"/>
        <w:ind w:left="0" w:right="0" w:firstLine="640" w:firstLineChars="200"/>
        <w:jc w:val="both"/>
        <w:rPr>
          <w:rFonts w:hint="default" w:ascii="Helvetica Neue" w:hAnsi="Helvetica Neue" w:eastAsia="Helvetica Neue" w:cs="Helvetica Neue"/>
          <w:i w:val="0"/>
          <w:iCs w:val="0"/>
          <w:caps w:val="0"/>
          <w:color w:val="0F1115"/>
          <w:spacing w:val="0"/>
          <w:sz w:val="32"/>
          <w:szCs w:val="32"/>
          <w:u w:val="none"/>
        </w:rPr>
      </w:pPr>
      <w:r>
        <w:rPr>
          <w:rFonts w:hint="default" w:ascii="Helvetica Neue" w:hAnsi="Helvetica Neue" w:eastAsia="Helvetica Neue" w:cs="Helvetica Neue"/>
          <w:i w:val="0"/>
          <w:iCs w:val="0"/>
          <w:caps w:val="0"/>
          <w:color w:val="0F1115"/>
          <w:spacing w:val="0"/>
          <w:sz w:val="32"/>
          <w:szCs w:val="32"/>
          <w:u w:val="none"/>
        </w:rPr>
        <w:t>本案将万华物流及其法定代表人列为共同被告，凸显了第三方服务商管理的重要性。建议企业在选择货代、报关行等第三方服务商时，建立尽职调查机制，评估其合规管理能力和历史合规记录。在合作过程中，应明确要求服务商遵守出口管制法规，并在服务协议中约定因服务商违规导致委托人承担责任的赔偿条款。同时，企业不应完全依赖服务商的申报建议，对于涉及管制物项的疑难问题，应寻求独立的专业意见。</w:t>
      </w:r>
    </w:p>
    <w:p w14:paraId="3C1722D2">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p>
    <w:p w14:paraId="2CBDD6A6">
      <w:pPr>
        <w:pStyle w:val="8"/>
        <w:keepNext w:val="0"/>
        <w:keepLines w:val="0"/>
        <w:widowControl/>
        <w:suppressLineNumbers w:val="0"/>
        <w:spacing w:before="320" w:beforeAutospacing="0" w:after="320" w:afterAutospacing="0"/>
        <w:ind w:left="0" w:right="0" w:firstLine="0"/>
        <w:jc w:val="both"/>
        <w:rPr>
          <w:rFonts w:hint="default" w:ascii="Helvetica Neue" w:hAnsi="Helvetica Neue" w:eastAsia="Helvetica Neue" w:cs="Helvetica Neue"/>
          <w:i w:val="0"/>
          <w:iCs w:val="0"/>
          <w:caps w:val="0"/>
          <w:color w:val="0F1115"/>
          <w:spacing w:val="0"/>
          <w:sz w:val="32"/>
          <w:szCs w:val="32"/>
          <w:u w:val="none"/>
        </w:rPr>
      </w:pPr>
    </w:p>
    <w:p w14:paraId="5BAF7906">
      <w:pPr>
        <w:pStyle w:val="8"/>
        <w:keepNext w:val="0"/>
        <w:keepLines w:val="0"/>
        <w:widowControl/>
        <w:suppressLineNumbers w:val="0"/>
        <w:spacing w:before="320" w:beforeAutospacing="0" w:after="320" w:afterAutospacing="0"/>
        <w:ind w:left="0" w:right="0" w:firstLine="0"/>
        <w:jc w:val="both"/>
        <w:rPr>
          <w:rFonts w:hint="eastAsia" w:ascii="Helvetica Neue" w:hAnsi="Helvetica Neue" w:eastAsia="宋体" w:cs="Helvetica Neue"/>
          <w:i w:val="0"/>
          <w:iCs w:val="0"/>
          <w:caps w:val="0"/>
          <w:color w:val="0F1115"/>
          <w:spacing w:val="0"/>
          <w:sz w:val="32"/>
          <w:szCs w:val="32"/>
          <w:u w:val="none"/>
          <w:lang w:val="en-US" w:eastAsia="zh-CN"/>
        </w:rPr>
      </w:pPr>
      <w:r>
        <w:rPr>
          <w:rFonts w:hint="eastAsia" w:ascii="Helvetica Neue" w:hAnsi="Helvetica Neue" w:eastAsia="宋体" w:cs="Helvetica Neue"/>
          <w:i w:val="0"/>
          <w:iCs w:val="0"/>
          <w:caps w:val="0"/>
          <w:color w:val="0F1115"/>
          <w:spacing w:val="0"/>
          <w:sz w:val="32"/>
          <w:szCs w:val="32"/>
          <w:u w:val="none"/>
          <w:lang w:val="en-US" w:eastAsia="zh-CN"/>
        </w:rPr>
        <w:t>免责声明：本文系作者个人观点，不代表本公众号立场。本文分析基于截至2026年5月29日的公开信息。案件后续审理进展可能对相关法律问题的认定产生影响，建议持续关注司法机关的最终裁判结果。</w:t>
      </w:r>
    </w:p>
    <w:p w14:paraId="3CAF0F35">
      <w:pPr>
        <w:jc w:val="both"/>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var(--dsw-font-markdown-h1)">
    <w:altName w:val="苹方-简"/>
    <w:panose1 w:val="00000000000000000000"/>
    <w:charset w:val="00"/>
    <w:family w:val="auto"/>
    <w:pitch w:val="default"/>
    <w:sig w:usb0="00000000" w:usb1="00000000" w:usb2="00000000" w:usb3="00000000" w:csb0="00000000" w:csb1="00000000"/>
  </w:font>
  <w:font w:name="var(--dsw-font-markdown-h2)">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var(--dsw-font-markdown-h3)">
    <w:altName w:val="苹方-简"/>
    <w:panose1 w:val="00000000000000000000"/>
    <w:charset w:val="00"/>
    <w:family w:val="auto"/>
    <w:pitch w:val="default"/>
    <w:sig w:usb0="00000000" w:usb1="00000000" w:usb2="00000000" w:usb3="00000000" w:csb0="00000000" w:csb1="00000000"/>
  </w:font>
  <w:font w:name="var(--dsw-font-xxxs-strong-11)">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CB5E2"/>
    <w:rsid w:val="72EB46E8"/>
    <w:rsid w:val="75DCB5E2"/>
    <w:rsid w:val="78E102BB"/>
    <w:rsid w:val="7DFFB74D"/>
    <w:rsid w:val="CF7F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basedOn w:val="1"/>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2026-05-30T07:34:00Z</dcterms:created>
  <dc:creator>李佳</dc:creator>
  <cp:lastModifiedBy>李佳</cp:lastModifiedBy>
  <dcterms:modified xsi:type="dcterms:W3CDTF">2026-05-30T22:03:42Z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1033-6.12.1.8902</vt:lpwstr>
  </property>
  <property fmtid="{D5CDD505-2E9C-101B-9397-08002B2CF9AE}" pid="3" name="ICV">
    <vt:lpwstr>95BACC289545962420B2196A7EECEF66_41</vt:lpwstr>
  </property>
</Properties>
</file>