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8BC9" w14:textId="77777777" w:rsidR="002C37EB" w:rsidRPr="002C37EB" w:rsidRDefault="002C37EB" w:rsidP="002C37EB">
      <w:pPr>
        <w:ind w:firstLineChars="0" w:firstLine="0"/>
        <w:jc w:val="center"/>
        <w:rPr>
          <w:rFonts w:hint="eastAsia"/>
          <w:b/>
          <w:bCs/>
          <w:sz w:val="30"/>
        </w:rPr>
      </w:pPr>
      <w:bookmarkStart w:id="0" w:name="_Toc217863802"/>
      <w:bookmarkStart w:id="1" w:name="_Toc218449380"/>
      <w:r w:rsidRPr="002C37EB">
        <w:rPr>
          <w:b/>
          <w:bCs/>
          <w:sz w:val="30"/>
        </w:rPr>
        <w:t>丹麦投资指南</w:t>
      </w:r>
      <w:bookmarkEnd w:id="0"/>
      <w:bookmarkEnd w:id="1"/>
    </w:p>
    <w:p w14:paraId="3A06CC4F" w14:textId="77777777" w:rsidR="002C37EB" w:rsidRPr="002C37EB" w:rsidRDefault="002C37EB" w:rsidP="002C37EB">
      <w:pPr>
        <w:ind w:firstLineChars="0" w:firstLine="0"/>
        <w:jc w:val="center"/>
        <w:rPr>
          <w:rFonts w:hAnsi="仿宋" w:cs="仿宋" w:hint="eastAsia"/>
          <w:sz w:val="30"/>
          <w:szCs w:val="30"/>
        </w:rPr>
      </w:pPr>
      <w:r w:rsidRPr="002C37EB">
        <w:rPr>
          <w:rFonts w:hAnsi="仿宋" w:cs="仿宋" w:hint="eastAsia"/>
          <w:sz w:val="30"/>
          <w:szCs w:val="30"/>
        </w:rPr>
        <w:t>所在单位：国浩律师（上海）事务所</w:t>
      </w:r>
    </w:p>
    <w:p w14:paraId="3869D246" w14:textId="31D8CFC3" w:rsidR="002C37EB" w:rsidRPr="002C37EB" w:rsidRDefault="002C37EB" w:rsidP="002C37EB">
      <w:pPr>
        <w:ind w:firstLineChars="0" w:firstLine="0"/>
        <w:jc w:val="center"/>
        <w:rPr>
          <w:rFonts w:hAnsi="仿宋" w:cs="仿宋" w:hint="eastAsia"/>
          <w:sz w:val="30"/>
          <w:szCs w:val="30"/>
        </w:rPr>
      </w:pPr>
      <w:r w:rsidRPr="002C37EB">
        <w:rPr>
          <w:rFonts w:hAnsi="仿宋" w:cs="仿宋" w:hint="eastAsia"/>
          <w:sz w:val="30"/>
          <w:szCs w:val="30"/>
        </w:rPr>
        <w:t>作者：董亮</w:t>
      </w:r>
    </w:p>
    <w:p w14:paraId="35E67A40" w14:textId="77777777" w:rsidR="002C37EB" w:rsidRDefault="002C37EB" w:rsidP="00A36484">
      <w:pPr>
        <w:ind w:firstLine="640"/>
        <w:rPr>
          <w:rFonts w:hint="eastAsia"/>
        </w:rPr>
      </w:pPr>
    </w:p>
    <w:p w14:paraId="65B3B389" w14:textId="5FB204AC" w:rsidR="00A36484" w:rsidRDefault="00A36484" w:rsidP="00A36484">
      <w:pPr>
        <w:pStyle w:val="1"/>
        <w:ind w:firstLine="643"/>
      </w:pPr>
      <w:r>
        <w:rPr>
          <w:rFonts w:hint="eastAsia"/>
        </w:rPr>
        <w:t>摘要</w:t>
      </w:r>
    </w:p>
    <w:p w14:paraId="10BAAC33" w14:textId="7B32DBE7" w:rsidR="00A36484" w:rsidRDefault="00A36484" w:rsidP="00A36484">
      <w:pPr>
        <w:ind w:firstLine="640"/>
        <w:rPr>
          <w:rFonts w:hint="eastAsia"/>
        </w:rPr>
      </w:pPr>
      <w:r>
        <w:rPr>
          <w:rFonts w:hint="eastAsia"/>
        </w:rPr>
        <w:t>本文</w:t>
      </w:r>
      <w:r w:rsidRPr="00A36484">
        <w:rPr>
          <w:rFonts w:hint="eastAsia"/>
        </w:rPr>
        <w:t>系统介绍丹麦外商</w:t>
      </w:r>
      <w:proofErr w:type="gramStart"/>
      <w:r w:rsidRPr="00A36484">
        <w:rPr>
          <w:rFonts w:hint="eastAsia"/>
        </w:rPr>
        <w:t>投资全</w:t>
      </w:r>
      <w:proofErr w:type="gramEnd"/>
      <w:r w:rsidRPr="00A36484">
        <w:rPr>
          <w:rFonts w:hint="eastAsia"/>
        </w:rPr>
        <w:t>流程法律与实操规范。作为欧盟成员国，丹麦贸易政策遵循欧盟与WTO规则，海关、检验检疫、税收体系完善；对外资持开放态度，鼓励生命科学、清洁技术、绿色转型等领域投资，公司注册高效便捷，同时对国防、关键基础设施等敏感行业实施外资安全审查。指南还详细说明劳动就业、环境保护、反商业贿赂、知识产权保护等核心合</w:t>
      </w:r>
      <w:proofErr w:type="gramStart"/>
      <w:r w:rsidRPr="00A36484">
        <w:rPr>
          <w:rFonts w:hint="eastAsia"/>
        </w:rPr>
        <w:t>规</w:t>
      </w:r>
      <w:proofErr w:type="gramEnd"/>
      <w:r w:rsidRPr="00A36484">
        <w:rPr>
          <w:rFonts w:hint="eastAsia"/>
        </w:rPr>
        <w:t>要求，覆盖企业设立、工程承揽、税务申报、工作许可、要约收购等实务操作，并介绍哥本哈根自由港等特殊区域政策，最后明确诉讼、国际仲裁等争议解决路径，为</w:t>
      </w:r>
      <w:proofErr w:type="gramStart"/>
      <w:r w:rsidRPr="00A36484">
        <w:rPr>
          <w:rFonts w:hint="eastAsia"/>
        </w:rPr>
        <w:t>赴丹投资</w:t>
      </w:r>
      <w:proofErr w:type="gramEnd"/>
      <w:r w:rsidRPr="00A36484">
        <w:rPr>
          <w:rFonts w:hint="eastAsia"/>
        </w:rPr>
        <w:t>企业提供全面合</w:t>
      </w:r>
      <w:proofErr w:type="gramStart"/>
      <w:r w:rsidRPr="00A36484">
        <w:rPr>
          <w:rFonts w:hint="eastAsia"/>
        </w:rPr>
        <w:t>规</w:t>
      </w:r>
      <w:proofErr w:type="gramEnd"/>
      <w:r w:rsidRPr="00A36484">
        <w:rPr>
          <w:rFonts w:hint="eastAsia"/>
        </w:rPr>
        <w:t>指引。</w:t>
      </w:r>
    </w:p>
    <w:p w14:paraId="34E278E0" w14:textId="10962933" w:rsidR="00A36484" w:rsidRDefault="00A36484" w:rsidP="00A36484">
      <w:pPr>
        <w:pStyle w:val="1"/>
        <w:ind w:firstLine="643"/>
      </w:pPr>
      <w:r>
        <w:rPr>
          <w:rFonts w:hint="eastAsia"/>
        </w:rPr>
        <w:t>关键词</w:t>
      </w:r>
    </w:p>
    <w:p w14:paraId="324698CF" w14:textId="79C41CA1" w:rsidR="00A36484" w:rsidRDefault="00A36484" w:rsidP="00A36484">
      <w:pPr>
        <w:ind w:firstLine="640"/>
        <w:rPr>
          <w:rFonts w:hint="eastAsia"/>
        </w:rPr>
      </w:pPr>
      <w:r w:rsidRPr="00A36484">
        <w:rPr>
          <w:rFonts w:hint="eastAsia"/>
        </w:rPr>
        <w:t>丹麦投资</w:t>
      </w:r>
      <w:r>
        <w:rPr>
          <w:rFonts w:hint="eastAsia"/>
        </w:rPr>
        <w:t>、</w:t>
      </w:r>
      <w:r w:rsidRPr="00A36484">
        <w:rPr>
          <w:rFonts w:hint="eastAsia"/>
        </w:rPr>
        <w:t>外资准入</w:t>
      </w:r>
      <w:r>
        <w:rPr>
          <w:rFonts w:hint="eastAsia"/>
        </w:rPr>
        <w:t>、</w:t>
      </w:r>
      <w:r w:rsidRPr="00A36484">
        <w:rPr>
          <w:rFonts w:hint="eastAsia"/>
        </w:rPr>
        <w:t>投资合</w:t>
      </w:r>
      <w:proofErr w:type="gramStart"/>
      <w:r w:rsidRPr="00A36484">
        <w:rPr>
          <w:rFonts w:hint="eastAsia"/>
        </w:rPr>
        <w:t>规</w:t>
      </w:r>
      <w:proofErr w:type="gramEnd"/>
      <w:r>
        <w:rPr>
          <w:rFonts w:hint="eastAsia"/>
        </w:rPr>
        <w:t>、</w:t>
      </w:r>
      <w:r w:rsidRPr="00A36484">
        <w:rPr>
          <w:rFonts w:hint="eastAsia"/>
        </w:rPr>
        <w:t>法律政策</w:t>
      </w:r>
      <w:r>
        <w:rPr>
          <w:rFonts w:hint="eastAsia"/>
        </w:rPr>
        <w:t>、</w:t>
      </w:r>
      <w:r w:rsidRPr="00A36484">
        <w:rPr>
          <w:rFonts w:hint="eastAsia"/>
        </w:rPr>
        <w:t>跨境运营</w:t>
      </w:r>
    </w:p>
    <w:p w14:paraId="3E77DD2C" w14:textId="606B72A4" w:rsidR="00A36484" w:rsidRPr="00A36484" w:rsidRDefault="00A36484" w:rsidP="00A36484">
      <w:pPr>
        <w:pStyle w:val="1"/>
        <w:ind w:firstLine="643"/>
      </w:pPr>
      <w:r>
        <w:rPr>
          <w:rFonts w:hint="eastAsia"/>
        </w:rPr>
        <w:t>正文</w:t>
      </w:r>
    </w:p>
    <w:p w14:paraId="63447289" w14:textId="326A758B" w:rsidR="002C37EB" w:rsidRPr="002C37EB" w:rsidRDefault="002C37EB" w:rsidP="00A36484">
      <w:pPr>
        <w:pStyle w:val="2"/>
        <w:ind w:firstLine="643"/>
      </w:pPr>
      <w:bookmarkStart w:id="2" w:name="_Toc217652632"/>
      <w:bookmarkStart w:id="3" w:name="_Toc217863803"/>
      <w:bookmarkStart w:id="4" w:name="_Toc218449381"/>
      <w:r w:rsidRPr="002C37EB">
        <w:t>丹麦投资相关的法律与政策</w:t>
      </w:r>
      <w:bookmarkEnd w:id="2"/>
      <w:bookmarkEnd w:id="3"/>
      <w:bookmarkEnd w:id="4"/>
    </w:p>
    <w:p w14:paraId="53EAEDC6" w14:textId="1B6AF169" w:rsidR="002C37EB" w:rsidRPr="002C37EB" w:rsidRDefault="002C37EB" w:rsidP="00AF20D2">
      <w:pPr>
        <w:pStyle w:val="3"/>
      </w:pPr>
      <w:bookmarkStart w:id="5" w:name="_Toc217863804"/>
      <w:bookmarkStart w:id="6" w:name="_Toc217652633"/>
      <w:bookmarkStart w:id="7" w:name="_Toc218449382"/>
      <w:r w:rsidRPr="002C37EB">
        <w:t>对外贸易法规与政策</w:t>
      </w:r>
      <w:bookmarkEnd w:id="5"/>
      <w:bookmarkEnd w:id="6"/>
      <w:bookmarkEnd w:id="7"/>
    </w:p>
    <w:p w14:paraId="76B0B65E" w14:textId="4EA94F74" w:rsidR="002C37EB" w:rsidRPr="002C37EB" w:rsidRDefault="002C37EB" w:rsidP="00A36484">
      <w:pPr>
        <w:pStyle w:val="4"/>
        <w:ind w:firstLine="643"/>
      </w:pPr>
      <w:bookmarkStart w:id="8" w:name="_Toc217863805"/>
      <w:bookmarkStart w:id="9" w:name="_Toc218449383"/>
      <w:r w:rsidRPr="002C37EB">
        <w:t>贸易主管部门</w:t>
      </w:r>
      <w:bookmarkEnd w:id="8"/>
      <w:bookmarkEnd w:id="9"/>
    </w:p>
    <w:p w14:paraId="7451347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由Trade Council（丹麦外交部属下机构）负责统筹丹</w:t>
      </w:r>
      <w:r w:rsidRPr="002C37EB">
        <w:rPr>
          <w:rFonts w:hAnsi="Times New Roman" w:cs="Times New Roman"/>
          <w:szCs w:val="24"/>
          <w14:ligatures w14:val="none"/>
        </w:rPr>
        <w:lastRenderedPageBreak/>
        <w:t>麦的涉外投资与贸易事务，其中包括推动丹麦产品的出口以及吸引外国投资。该贸易委员会向有意向海外扩展的丹麦企业提供出口促进、创新发展、国际化等咨询和解决方案。</w:t>
      </w:r>
    </w:p>
    <w:p w14:paraId="6A57F22E" w14:textId="40D1FE0B" w:rsidR="002C37EB" w:rsidRPr="002C37EB" w:rsidRDefault="002C37EB" w:rsidP="00A36484">
      <w:pPr>
        <w:pStyle w:val="4"/>
        <w:ind w:firstLine="643"/>
      </w:pPr>
      <w:bookmarkStart w:id="10" w:name="_Toc217863806"/>
      <w:bookmarkStart w:id="11" w:name="_Toc218449384"/>
      <w:r w:rsidRPr="002C37EB">
        <w:t>贸易法规体系</w:t>
      </w:r>
      <w:bookmarkEnd w:id="10"/>
      <w:bookmarkEnd w:id="11"/>
    </w:p>
    <w:p w14:paraId="4AF2CD44"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丹麦作为European Union（EU）成员国，同时也是World Trade Organization（WTO）成员，其贸易政策与欧盟保持一致，整体实行自由贸易方针，但对某些类别的进口产品仍设有一定限制。</w:t>
      </w:r>
    </w:p>
    <w:p w14:paraId="5FB97B86" w14:textId="0A46184D" w:rsidR="002C37EB" w:rsidRPr="002C37EB" w:rsidRDefault="002C37EB" w:rsidP="00A36484">
      <w:pPr>
        <w:pStyle w:val="4"/>
        <w:ind w:firstLine="643"/>
      </w:pPr>
      <w:bookmarkStart w:id="12" w:name="_Toc217863807"/>
      <w:bookmarkStart w:id="13" w:name="_Toc218449385"/>
      <w:r w:rsidRPr="002C37EB">
        <w:t>贸易管理规定</w:t>
      </w:r>
      <w:bookmarkEnd w:id="12"/>
      <w:bookmarkEnd w:id="13"/>
    </w:p>
    <w:p w14:paraId="69C4AB01"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在总体上，丹麦奉行自由贸易政策，并在贸易管理上遵循欧盟和WTO的规则。根据欧盟相关政策，丹麦对来自欠发达国家的工业品实行普惠制（GSP）待遇。</w:t>
      </w:r>
      <w:r w:rsidRPr="002C37EB">
        <w:rPr>
          <w:rFonts w:hAnsi="Times New Roman" w:cs="Times New Roman"/>
          <w:szCs w:val="24"/>
          <w:vertAlign w:val="superscript"/>
          <w14:ligatures w14:val="none"/>
        </w:rPr>
        <w:footnoteReference w:id="1"/>
      </w:r>
      <w:r w:rsidRPr="002C37EB">
        <w:rPr>
          <w:rFonts w:hAnsi="Times New Roman" w:cs="Times New Roman"/>
          <w:szCs w:val="24"/>
          <w14:ligatures w14:val="none"/>
        </w:rPr>
        <w:t>作为欧盟成员国，丹麦在货物进出口方面所适用的关税税率、海关进出口程序与估价体系、反倾销规定、非关税措施管理、技术-卫生-安全标准及其他贸易法规，均采纳欧盟统一法规体系。</w:t>
      </w:r>
    </w:p>
    <w:p w14:paraId="38E131B6" w14:textId="22F50C82" w:rsidR="002C37EB" w:rsidRPr="002C37EB" w:rsidRDefault="002C37EB" w:rsidP="00A36484">
      <w:pPr>
        <w:pStyle w:val="4"/>
        <w:ind w:firstLine="643"/>
      </w:pPr>
      <w:bookmarkStart w:id="14" w:name="_Toc217863808"/>
      <w:bookmarkStart w:id="15" w:name="_Toc218449386"/>
      <w:r w:rsidRPr="002C37EB">
        <w:t>进出口商品检验检疫</w:t>
      </w:r>
      <w:bookmarkEnd w:id="14"/>
      <w:bookmarkEnd w:id="15"/>
    </w:p>
    <w:p w14:paraId="323CDF9F" w14:textId="77777777" w:rsidR="002C37EB" w:rsidRPr="002C37EB" w:rsidRDefault="002C37EB" w:rsidP="002C37EB">
      <w:pPr>
        <w:widowControl w:val="0"/>
        <w:ind w:firstLine="640"/>
        <w:rPr>
          <w:rFonts w:hAnsi="Times New Roman" w:cs="Times New Roman"/>
          <w:szCs w:val="24"/>
          <w14:ligatures w14:val="none"/>
        </w:rPr>
      </w:pPr>
      <w:bookmarkStart w:id="16" w:name="OLE_LINK3"/>
      <w:bookmarkStart w:id="17" w:name="OLE_LINK4"/>
      <w:r w:rsidRPr="002C37EB">
        <w:rPr>
          <w:rFonts w:hAnsi="Times New Roman" w:cs="Times New Roman"/>
          <w:szCs w:val="24"/>
          <w14:ligatures w14:val="none"/>
        </w:rPr>
        <w:t>丹麦对土豆、植物、某些动物及畜产品的进口设有卫生检疫要求。通常情况下，进口合同或信用证会要求出口方提供卫生证书（Certificate of Sanitation）。此外，进口食</w:t>
      </w:r>
      <w:r w:rsidRPr="002C37EB">
        <w:rPr>
          <w:rFonts w:hAnsi="Times New Roman" w:cs="Times New Roman"/>
          <w:szCs w:val="24"/>
          <w14:ligatures w14:val="none"/>
        </w:rPr>
        <w:lastRenderedPageBreak/>
        <w:t>品必须满足丹</w:t>
      </w:r>
      <w:r w:rsidRPr="002C37EB">
        <w:rPr>
          <w:rFonts w:hAnsi="Times New Roman" w:cs="Times New Roman" w:hint="eastAsia"/>
          <w:szCs w:val="24"/>
          <w14:ligatures w14:val="none"/>
        </w:rPr>
        <w:t>麦的“纯净”标</w:t>
      </w:r>
      <w:r w:rsidRPr="002C37EB">
        <w:rPr>
          <w:rFonts w:hAnsi="Times New Roman" w:cs="Times New Roman"/>
          <w:szCs w:val="24"/>
          <w14:ligatures w14:val="none"/>
        </w:rPr>
        <w:t>准。</w:t>
      </w:r>
      <w:r w:rsidRPr="002C37EB">
        <w:rPr>
          <w:rFonts w:hAnsi="Times New Roman" w:cs="Times New Roman"/>
          <w:szCs w:val="24"/>
          <w:vertAlign w:val="superscript"/>
          <w14:ligatures w14:val="none"/>
        </w:rPr>
        <w:footnoteReference w:id="2"/>
      </w:r>
      <w:r w:rsidRPr="002C37EB">
        <w:rPr>
          <w:rFonts w:hAnsi="Times New Roman" w:cs="Times New Roman"/>
          <w:szCs w:val="24"/>
          <w14:ligatures w14:val="none"/>
        </w:rPr>
        <w:t>自1979年7月1日起，肉类产品（含家禽类）须出</w:t>
      </w:r>
      <w:bookmarkEnd w:id="16"/>
      <w:bookmarkEnd w:id="17"/>
      <w:r w:rsidRPr="002C37EB">
        <w:rPr>
          <w:rFonts w:hAnsi="Times New Roman" w:cs="Times New Roman" w:hint="eastAsia"/>
          <w:szCs w:val="24"/>
          <w14:ligatures w14:val="none"/>
        </w:rPr>
        <w:t>具“可食用证明”。动物性食品进口还要求执行兽医检验，由兽医检验机构出具“品质检验证明”（Certificate of Quality）。对植物（整体或部分）及种子进口，还必须由植物检验机构出具“植物卫生检验证明”（Inspected Certificate of Sanitation for Plant）。</w:t>
      </w:r>
    </w:p>
    <w:p w14:paraId="645B9BB2" w14:textId="7A9EED7D" w:rsidR="002C37EB" w:rsidRPr="002C37EB" w:rsidRDefault="002C37EB" w:rsidP="00A36484">
      <w:pPr>
        <w:pStyle w:val="4"/>
        <w:ind w:firstLine="643"/>
      </w:pPr>
      <w:bookmarkStart w:id="18" w:name="_Toc217863809"/>
      <w:bookmarkStart w:id="19" w:name="_Toc218449387"/>
      <w:r w:rsidRPr="002C37EB">
        <w:t>海关管理规章制度</w:t>
      </w:r>
      <w:bookmarkEnd w:id="18"/>
      <w:bookmarkEnd w:id="19"/>
    </w:p>
    <w:p w14:paraId="2970D9B3"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丹麦海关管理的法律依据主要是《Customs Act》（《海关法》），该法对关税征收、海关监管及处罚措施</w:t>
      </w:r>
      <w:proofErr w:type="gramStart"/>
      <w:r w:rsidRPr="002C37EB">
        <w:rPr>
          <w:rFonts w:hAnsi="Times New Roman" w:cs="Times New Roman"/>
          <w:szCs w:val="24"/>
          <w14:ligatures w14:val="none"/>
        </w:rPr>
        <w:t>作出</w:t>
      </w:r>
      <w:proofErr w:type="gramEnd"/>
      <w:r w:rsidRPr="002C37EB">
        <w:rPr>
          <w:rFonts w:hAnsi="Times New Roman" w:cs="Times New Roman"/>
          <w:szCs w:val="24"/>
          <w14:ligatures w14:val="none"/>
        </w:rPr>
        <w:t>了具体规定。作为欧盟成员国，丹麦全面执行欧盟共同关税制度（Common Customs Tariff, CCT），实行统一的对外关税税率和管理制度。这意味着丹麦的对外关税政策主要由欧盟委员会制定。例如，自非欧盟第三国进口的部分主要产品的关税税率大致如下：</w:t>
      </w:r>
    </w:p>
    <w:p w14:paraId="695C804A"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牛肉、猪肉等肉类：0-20%（部分从量税）</w:t>
      </w:r>
    </w:p>
    <w:p w14:paraId="1CB2960A"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蔬菜：0-15.2%（部分从量税）</w:t>
      </w:r>
    </w:p>
    <w:p w14:paraId="0A32BA7A"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煤炭、焦炭：0%</w:t>
      </w:r>
    </w:p>
    <w:p w14:paraId="5728A0AD"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药品：0%</w:t>
      </w:r>
    </w:p>
    <w:p w14:paraId="4CA8FC31"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塑料及其制品：0-6.5%</w:t>
      </w:r>
    </w:p>
    <w:p w14:paraId="09DFBA7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橡胶及其制品：0-6.5%</w:t>
      </w:r>
    </w:p>
    <w:p w14:paraId="670253AE"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lastRenderedPageBreak/>
        <w:t>纺织品：0-12%</w:t>
      </w:r>
    </w:p>
    <w:p w14:paraId="5F51273B"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鞋类：0-17%</w:t>
      </w:r>
    </w:p>
    <w:p w14:paraId="475AE74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机动车：10%（基础关税，特定型号可能远超22%）</w:t>
      </w:r>
    </w:p>
    <w:p w14:paraId="0567C818"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上述税率仅为欧盟基础关税范围。实际适用税率可能因反倾销/反补贴关税（如电动汽车）、贸易协定或临时关税调整而随时变动。建议通过欧盟关税数据库：https://ec.europa.eu/taxation_customs/dds2/taric/taric_consultation.jsp?Lang=en进行准确查询。</w:t>
      </w:r>
    </w:p>
    <w:p w14:paraId="7973FBC2"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除关税外，丹麦对进口商品还统一征收增值税（按入境时CIF价款加关税等的25％）。</w:t>
      </w:r>
      <w:r w:rsidRPr="002C37EB">
        <w:rPr>
          <w:rFonts w:hAnsi="Times New Roman" w:cs="Times New Roman"/>
          <w:szCs w:val="24"/>
          <w:vertAlign w:val="superscript"/>
          <w14:ligatures w14:val="none"/>
        </w:rPr>
        <w:footnoteReference w:id="3"/>
      </w:r>
      <w:r w:rsidRPr="002C37EB">
        <w:rPr>
          <w:rFonts w:hAnsi="Times New Roman" w:cs="Times New Roman"/>
          <w:szCs w:val="24"/>
          <w14:ligatures w14:val="none"/>
        </w:rPr>
        <w:t>此外，丹麦对汽油、香烟、饮料（包括烈酒、红酒、啤酒、矿泉水）、咖啡、茶、机动车辆，以及用电、气、石油等能源消耗也征取消费税。根据《海关监管法》，对那些</w:t>
      </w:r>
      <w:r w:rsidRPr="002C37EB">
        <w:rPr>
          <w:rFonts w:hAnsi="仿宋" w:cs="Times New Roman"/>
          <w:szCs w:val="24"/>
          <w14:ligatures w14:val="none"/>
        </w:rPr>
        <w:t>“无商业价值或商业价值极低，或不适合使用”的</w:t>
      </w:r>
      <w:r w:rsidRPr="002C37EB">
        <w:rPr>
          <w:rFonts w:hAnsi="Times New Roman" w:cs="Times New Roman"/>
          <w:szCs w:val="24"/>
          <w14:ligatures w14:val="none"/>
        </w:rPr>
        <w:t>样品进口，进口商可提出免税申请。</w:t>
      </w:r>
      <w:r w:rsidRPr="002C37EB">
        <w:rPr>
          <w:rFonts w:hAnsi="Times New Roman" w:cs="Times New Roman"/>
          <w:szCs w:val="24"/>
          <w:vertAlign w:val="superscript"/>
          <w14:ligatures w14:val="none"/>
        </w:rPr>
        <w:footnoteReference w:id="4"/>
      </w:r>
      <w:r w:rsidRPr="002C37EB">
        <w:rPr>
          <w:rFonts w:hAnsi="Times New Roman" w:cs="Times New Roman"/>
          <w:szCs w:val="24"/>
          <w14:ligatures w14:val="none"/>
        </w:rPr>
        <w:t>进口报关常见的单证包括：商业发票、提单、商品流通证明、保险单、原产地证书、卫生证书等。</w:t>
      </w:r>
    </w:p>
    <w:p w14:paraId="718E46C5" w14:textId="37AEB8C4" w:rsidR="002C37EB" w:rsidRPr="002C37EB" w:rsidRDefault="002C37EB" w:rsidP="00AF20D2">
      <w:pPr>
        <w:pStyle w:val="3"/>
      </w:pPr>
      <w:bookmarkStart w:id="20" w:name="_Toc217652634"/>
      <w:bookmarkStart w:id="21" w:name="_Toc217863810"/>
      <w:bookmarkStart w:id="22" w:name="_Toc218449388"/>
      <w:r w:rsidRPr="002C37EB">
        <w:lastRenderedPageBreak/>
        <w:t>对外投资的市场准入规定</w:t>
      </w:r>
      <w:bookmarkEnd w:id="20"/>
      <w:bookmarkEnd w:id="21"/>
      <w:bookmarkEnd w:id="22"/>
    </w:p>
    <w:p w14:paraId="7A3DF929" w14:textId="0B987308" w:rsidR="002C37EB" w:rsidRPr="002C37EB" w:rsidRDefault="002C37EB" w:rsidP="00A36484">
      <w:pPr>
        <w:pStyle w:val="4"/>
        <w:numPr>
          <w:ilvl w:val="0"/>
          <w:numId w:val="14"/>
        </w:numPr>
        <w:ind w:left="0" w:firstLine="643"/>
      </w:pPr>
      <w:bookmarkStart w:id="23" w:name="_Toc217863811"/>
      <w:bookmarkStart w:id="24" w:name="_Toc218449389"/>
      <w:r w:rsidRPr="002C37EB">
        <w:t>投资主管部门</w:t>
      </w:r>
      <w:bookmarkEnd w:id="23"/>
      <w:bookmarkEnd w:id="24"/>
    </w:p>
    <w:p w14:paraId="368C9501"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丹麦外交部下设的Trade Council（贸易委员会）负责丹麦对外投资与贸易的总体监管与推动，涵盖扩大丹麦产品出口和吸引境外投资两大任务。该贸易委员会下设 Invest in Denmark（丹麦投资促进局），专责向外国投资者提供政策咨询、项目对接、信息比较，以及协助实地访问丹麦等服务。</w:t>
      </w:r>
      <w:proofErr w:type="gramStart"/>
      <w:r w:rsidRPr="002C37EB">
        <w:rPr>
          <w:rFonts w:hAnsi="Times New Roman" w:cs="Times New Roman"/>
          <w:szCs w:val="24"/>
          <w14:ligatures w14:val="none"/>
        </w:rPr>
        <w:t>该促进</w:t>
      </w:r>
      <w:proofErr w:type="gramEnd"/>
      <w:r w:rsidRPr="002C37EB">
        <w:rPr>
          <w:rFonts w:hAnsi="Times New Roman" w:cs="Times New Roman"/>
          <w:szCs w:val="24"/>
          <w14:ligatures w14:val="none"/>
        </w:rPr>
        <w:t>局在丹麦本土及部分国家设有专业人员，其中国办公室设于上海。</w:t>
      </w:r>
    </w:p>
    <w:p w14:paraId="4A3D0B9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与此同时，丹麦工业、商业与金融事务部下辖的 Danish Business Authority（丹麦商业局）负责包括在丹麦注册的外资企业在内的本地企业的日常监管。</w:t>
      </w:r>
    </w:p>
    <w:p w14:paraId="22F3BECF" w14:textId="2FFDC1F0" w:rsidR="002C37EB" w:rsidRPr="002C37EB" w:rsidRDefault="002C37EB" w:rsidP="00A36484">
      <w:pPr>
        <w:pStyle w:val="4"/>
        <w:ind w:firstLine="643"/>
      </w:pPr>
      <w:bookmarkStart w:id="25" w:name="_Toc217863812"/>
      <w:bookmarkStart w:id="26" w:name="_Toc218449390"/>
      <w:r w:rsidRPr="002C37EB">
        <w:t>投资行业的规定</w:t>
      </w:r>
      <w:bookmarkEnd w:id="25"/>
      <w:bookmarkEnd w:id="26"/>
    </w:p>
    <w:p w14:paraId="7BEBE230" w14:textId="77777777" w:rsidR="002C37EB" w:rsidRPr="002C37EB" w:rsidRDefault="002C37EB" w:rsidP="00A36484">
      <w:pPr>
        <w:pStyle w:val="5"/>
        <w:ind w:firstLine="643"/>
      </w:pPr>
      <w:r w:rsidRPr="002C37EB">
        <w:t>公司设定相关法律</w:t>
      </w:r>
    </w:p>
    <w:p w14:paraId="2351473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包括但不限于：《私人有限责任公司法》（Private Limited Companies Act）、《股份有限公司法》（Public Limited Companies Act），《基金会法》，《公司取名和注册号法》，《公司税法》等。</w:t>
      </w:r>
    </w:p>
    <w:p w14:paraId="00260BE2" w14:textId="77777777" w:rsidR="002C37EB" w:rsidRPr="002C37EB" w:rsidRDefault="002C37EB" w:rsidP="00A36484">
      <w:pPr>
        <w:pStyle w:val="5"/>
        <w:ind w:firstLine="643"/>
      </w:pPr>
      <w:r w:rsidRPr="002C37EB">
        <w:t>公司行为相关法律</w:t>
      </w:r>
    </w:p>
    <w:p w14:paraId="4EA29D17"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 xml:space="preserve">涵盖诸如：《买卖货物法（合同法）》（Sale of Goods/Contract Act）、《产品责任法》（Product Liability Act）、《公司竞标法》（Public Procurement/Company Tendering </w:t>
      </w:r>
      <w:r w:rsidRPr="002C37EB">
        <w:rPr>
          <w:rFonts w:hAnsi="Times New Roman" w:cs="Times New Roman"/>
          <w:szCs w:val="24"/>
          <w14:ligatures w14:val="none"/>
        </w:rPr>
        <w:lastRenderedPageBreak/>
        <w:t>Act）、《增值税法》（VAT Act）</w:t>
      </w:r>
      <w:proofErr w:type="gramStart"/>
      <w:r w:rsidRPr="002C37EB">
        <w:rPr>
          <w:rFonts w:hAnsi="Times New Roman" w:cs="Times New Roman"/>
          <w:szCs w:val="24"/>
          <w14:ligatures w14:val="none"/>
        </w:rPr>
        <w:t>》</w:t>
      </w:r>
      <w:proofErr w:type="gramEnd"/>
      <w:r w:rsidRPr="002C37EB">
        <w:rPr>
          <w:rFonts w:hAnsi="Times New Roman" w:cs="Times New Roman"/>
          <w:szCs w:val="24"/>
          <w14:ligatures w14:val="none"/>
        </w:rPr>
        <w:t>、《保险法》（Insurance Act）、《竞争与反垄断法》（Competition and Antitrust Act）、《反不当竞争法》、《消费者保护条例》、《年度报告法》、《市场实践法》（Market Practice Act）以及《避免双重纳税法》（Double Taxation Avoidance Act）等。</w:t>
      </w:r>
    </w:p>
    <w:p w14:paraId="4F7159D7" w14:textId="77777777" w:rsidR="002C37EB" w:rsidRPr="002C37EB" w:rsidRDefault="002C37EB" w:rsidP="00A36484">
      <w:pPr>
        <w:pStyle w:val="5"/>
        <w:ind w:firstLine="643"/>
      </w:pPr>
      <w:r w:rsidRPr="002C37EB">
        <w:t>劳工相关法律</w:t>
      </w:r>
    </w:p>
    <w:p w14:paraId="4A907734"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hint="eastAsia"/>
          <w:szCs w:val="24"/>
          <w14:ligatures w14:val="none"/>
        </w:rPr>
        <w:t>包括：《雇员所得税法》（Employee Income Tax Act）</w:t>
      </w:r>
      <w:proofErr w:type="gramStart"/>
      <w:r w:rsidRPr="002C37EB">
        <w:rPr>
          <w:rFonts w:hAnsi="Times New Roman" w:cs="Times New Roman" w:hint="eastAsia"/>
          <w:szCs w:val="24"/>
          <w14:ligatures w14:val="none"/>
        </w:rPr>
        <w:t>》</w:t>
      </w:r>
      <w:proofErr w:type="gramEnd"/>
      <w:r w:rsidRPr="002C37EB">
        <w:rPr>
          <w:rFonts w:hAnsi="Times New Roman" w:cs="Times New Roman" w:hint="eastAsia"/>
          <w:szCs w:val="24"/>
          <w14:ligatures w14:val="none"/>
        </w:rPr>
        <w:t>、《养老金法》（Pension Act）</w:t>
      </w:r>
      <w:proofErr w:type="gramStart"/>
      <w:r w:rsidRPr="002C37EB">
        <w:rPr>
          <w:rFonts w:hAnsi="Times New Roman" w:cs="Times New Roman" w:hint="eastAsia"/>
          <w:szCs w:val="24"/>
          <w14:ligatures w14:val="none"/>
        </w:rPr>
        <w:t>》</w:t>
      </w:r>
      <w:proofErr w:type="gramEnd"/>
      <w:r w:rsidRPr="002C37EB">
        <w:rPr>
          <w:rFonts w:hAnsi="Times New Roman" w:cs="Times New Roman" w:hint="eastAsia"/>
          <w:szCs w:val="24"/>
          <w14:ligatures w14:val="none"/>
        </w:rPr>
        <w:t>、《强制工伤保险法》（Compulsory Accident Insurance Act）和《健康法》（Health Act）等。</w:t>
      </w:r>
    </w:p>
    <w:p w14:paraId="2339E786" w14:textId="77777777" w:rsidR="002C37EB" w:rsidRPr="002C37EB" w:rsidRDefault="002C37EB" w:rsidP="00A36484">
      <w:pPr>
        <w:pStyle w:val="5"/>
        <w:ind w:firstLine="643"/>
      </w:pPr>
      <w:r w:rsidRPr="002C37EB">
        <w:t>公司不动产、动产相关法律</w:t>
      </w:r>
    </w:p>
    <w:p w14:paraId="7F73CD27"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包括：《公共房屋租赁法》（Public Housing Leasing Act）</w:t>
      </w:r>
      <w:proofErr w:type="gramStart"/>
      <w:r w:rsidRPr="002C37EB">
        <w:rPr>
          <w:rFonts w:hAnsi="Times New Roman" w:cs="Times New Roman"/>
          <w:szCs w:val="24"/>
          <w14:ligatures w14:val="none"/>
        </w:rPr>
        <w:t>》</w:t>
      </w:r>
      <w:proofErr w:type="gramEnd"/>
      <w:r w:rsidRPr="002C37EB">
        <w:rPr>
          <w:rFonts w:hAnsi="Times New Roman" w:cs="Times New Roman"/>
          <w:szCs w:val="24"/>
          <w14:ligatures w14:val="none"/>
        </w:rPr>
        <w:t>、《公司用公寓和办公室租赁法》（Corporate Residence/Office Leasing Act）</w:t>
      </w:r>
      <w:proofErr w:type="gramStart"/>
      <w:r w:rsidRPr="002C37EB">
        <w:rPr>
          <w:rFonts w:hAnsi="Times New Roman" w:cs="Times New Roman"/>
          <w:szCs w:val="24"/>
          <w14:ligatures w14:val="none"/>
        </w:rPr>
        <w:t>》</w:t>
      </w:r>
      <w:proofErr w:type="gramEnd"/>
      <w:r w:rsidRPr="002C37EB">
        <w:rPr>
          <w:rFonts w:hAnsi="Times New Roman" w:cs="Times New Roman"/>
          <w:szCs w:val="24"/>
          <w14:ligatures w14:val="none"/>
        </w:rPr>
        <w:t>、《公司用汽车管理法》（Corporate Vehicle Management Act）和《不动产与动产法》（Real Estate and Movable Property Act）等。以上法律的英文版本可通过kub.kb.dk查询。</w:t>
      </w:r>
    </w:p>
    <w:p w14:paraId="18924A54" w14:textId="77777777" w:rsidR="002C37EB" w:rsidRPr="002C37EB" w:rsidRDefault="002C37EB" w:rsidP="00A36484">
      <w:pPr>
        <w:pStyle w:val="5"/>
        <w:ind w:firstLine="643"/>
      </w:pPr>
      <w:r w:rsidRPr="002C37EB">
        <w:t>引资服务体系与鼓励投资领域</w:t>
      </w:r>
    </w:p>
    <w:p w14:paraId="3F3A476A"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丹麦投资促进局（Invest in Denmark）、哥本哈根投资促进署（Copenhagen Investment Promotion Agency）等机构为外资企业</w:t>
      </w:r>
      <w:proofErr w:type="gramStart"/>
      <w:r w:rsidRPr="002C37EB">
        <w:rPr>
          <w:rFonts w:hAnsi="Times New Roman" w:cs="Times New Roman"/>
          <w:szCs w:val="24"/>
          <w14:ligatures w14:val="none"/>
        </w:rPr>
        <w:t>赴丹投资</w:t>
      </w:r>
      <w:proofErr w:type="gramEnd"/>
      <w:r w:rsidRPr="002C37EB">
        <w:rPr>
          <w:rFonts w:hAnsi="Times New Roman" w:cs="Times New Roman"/>
          <w:szCs w:val="24"/>
          <w14:ligatures w14:val="none"/>
        </w:rPr>
        <w:t>提供一站式免费咨询服务。政府鼓励外国公司在丹麦的优势领域进行投资，包括生命科学、清洁</w:t>
      </w:r>
      <w:r w:rsidRPr="002C37EB">
        <w:rPr>
          <w:rFonts w:hAnsi="Times New Roman" w:cs="Times New Roman"/>
          <w:szCs w:val="24"/>
          <w14:ligatures w14:val="none"/>
        </w:rPr>
        <w:lastRenderedPageBreak/>
        <w:t>技术、航运、声学、食品、创新与设计等；</w:t>
      </w:r>
      <w:proofErr w:type="gramStart"/>
      <w:r w:rsidRPr="002C37EB">
        <w:rPr>
          <w:rFonts w:hAnsi="Times New Roman" w:cs="Times New Roman"/>
          <w:szCs w:val="24"/>
          <w14:ligatures w14:val="none"/>
        </w:rPr>
        <w:t>亦鼓励</w:t>
      </w:r>
      <w:proofErr w:type="gramEnd"/>
      <w:r w:rsidRPr="002C37EB">
        <w:rPr>
          <w:rFonts w:hAnsi="Times New Roman" w:cs="Times New Roman"/>
          <w:szCs w:val="24"/>
          <w14:ligatures w14:val="none"/>
        </w:rPr>
        <w:t>外国公司利用丹麦的地理优势及基础设施，在丹麦设立商品分销中心或其他物流企业；支持外资在丹麦设立地区总部、投资公司、研发机构；优先吸引绿色转型领域、技术密集型和知识密集型投资。丹麦为外资设立公司提供便捷通道，仅需数小时即可完成网上注册，并拥有银行、公共基金、私人投资、风险投资及机构投资等多元融资渠道，劳动力市场灵活且高效。总体而言，丹麦对外国投资持鼓励态度，对国内外投资者一视同仁，不提供特定的差别</w:t>
      </w:r>
      <w:proofErr w:type="gramStart"/>
      <w:r w:rsidRPr="002C37EB">
        <w:rPr>
          <w:rFonts w:hAnsi="Times New Roman" w:cs="Times New Roman"/>
          <w:szCs w:val="24"/>
          <w14:ligatures w14:val="none"/>
        </w:rPr>
        <w:t>化优惠</w:t>
      </w:r>
      <w:proofErr w:type="gramEnd"/>
      <w:r w:rsidRPr="002C37EB">
        <w:rPr>
          <w:rFonts w:hAnsi="Times New Roman" w:cs="Times New Roman"/>
          <w:szCs w:val="24"/>
          <w14:ligatures w14:val="none"/>
        </w:rPr>
        <w:t>政策。</w:t>
      </w:r>
    </w:p>
    <w:p w14:paraId="39D2919D" w14:textId="77777777" w:rsidR="002C37EB" w:rsidRPr="002C37EB" w:rsidRDefault="002C37EB" w:rsidP="00A36484">
      <w:pPr>
        <w:pStyle w:val="5"/>
        <w:ind w:firstLine="643"/>
      </w:pPr>
      <w:r w:rsidRPr="002C37EB">
        <w:t>矿产、农业与林业投资</w:t>
      </w:r>
    </w:p>
    <w:p w14:paraId="5E29014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矿业方面，丹麦适用的法律包括《矿产资源法（原材料法）》、《丹麦与格陵兰地质调查法案》以及《领海与大陆架原材料勘探开采行政命令》等。鉴于丹麦本土矿产资源稀缺，政府已宣布至2050年将在北海全面停止石油与天然气的勘探与开采，作为能源转型战略的一环。格陵兰岛资源丰富，但丹麦、美国及欧盟对中国投资者尤为敏感。格陵兰议会于2009年颁布（并经多次修订）《格陵兰矿产资源法》，作为矿产勘探与开发的主要法律，再加2021年12月1日生效的《铀法案》（禁止一切铀及放射性物勘探开采）。在农业与林业方面，丹麦允许外国投资者获得耕地或林地所有权或承包经营权，无论购置或租赁期限长度如何。但要求外国投资者在丹麦注册实体，并聘用持有丹麦农民执照者担任公司经理。</w:t>
      </w:r>
    </w:p>
    <w:p w14:paraId="662331C6" w14:textId="77777777" w:rsidR="002C37EB" w:rsidRPr="002C37EB" w:rsidRDefault="002C37EB" w:rsidP="00A36484">
      <w:pPr>
        <w:pStyle w:val="5"/>
        <w:ind w:firstLine="643"/>
      </w:pPr>
      <w:r w:rsidRPr="002C37EB">
        <w:lastRenderedPageBreak/>
        <w:t>金融业准入</w:t>
      </w:r>
    </w:p>
    <w:p w14:paraId="6F39541D"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hint="eastAsia"/>
          <w:szCs w:val="24"/>
          <w14:ligatures w14:val="none"/>
        </w:rPr>
        <w:t>涉及金融业投资的相关法律包括《金融业务法》（Financial Business Act）及其修订案、《金融稳定法》（Financial Stability Act）、《外汇收益法》（Foreign Exchange Gains Act）和《资本市场》（Capital Markets Act）等。根据《投资筛选法》（Investment Screening Act），金融基础设施（Financial Infrastructure）被列为“关键基础设施”。外国投资者若试图收购相关企业10%以上的股权，必须经过强制审批；除《劳动法》等规定外，公司高管及管理层中的外国籍员工亦无特殊限</w:t>
      </w:r>
      <w:r w:rsidRPr="002C37EB">
        <w:rPr>
          <w:rFonts w:hAnsi="Times New Roman" w:cs="Times New Roman"/>
          <w:szCs w:val="24"/>
          <w14:ligatures w14:val="none"/>
        </w:rPr>
        <w:t>制。</w:t>
      </w:r>
      <w:r w:rsidRPr="002C37EB">
        <w:rPr>
          <w:rFonts w:hAnsi="Times New Roman" w:cs="Times New Roman"/>
          <w:szCs w:val="24"/>
          <w:vertAlign w:val="superscript"/>
          <w14:ligatures w14:val="none"/>
        </w:rPr>
        <w:footnoteReference w:id="5"/>
      </w:r>
      <w:r w:rsidRPr="002C37EB">
        <w:rPr>
          <w:rFonts w:hAnsi="Times New Roman" w:cs="Times New Roman"/>
          <w:szCs w:val="24"/>
          <w14:ligatures w14:val="none"/>
        </w:rPr>
        <w:t>资本的汇入汇出需提供相关文件，以证明公司未从事洗钱或其他违法活动。丹麦金融监管直接隶属于丹麦工商业与金融事务部，丹麦中央银行则通过宏观货币政策对银行业进行指导；监管重点涵盖金融机构偿付能力、债券市场包括上市公司信息披露等。</w:t>
      </w:r>
    </w:p>
    <w:p w14:paraId="055CDEEA" w14:textId="77777777" w:rsidR="002C37EB" w:rsidRPr="002C37EB" w:rsidRDefault="002C37EB" w:rsidP="00A36484">
      <w:pPr>
        <w:pStyle w:val="5"/>
        <w:ind w:firstLine="643"/>
      </w:pPr>
      <w:r w:rsidRPr="002C37EB">
        <w:t>数据管理与文化产业投资</w:t>
      </w:r>
    </w:p>
    <w:p w14:paraId="56E06C9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数据保护方面，欧盟《通用数据保护条例》（GDPR）适用于丹麦，投资企业必须严格遵守。文化产业方面，丹麦主要法律包括《电影法》《文学法》《图书馆服务法》《音乐法》等，其核心在于保障言论自由与文化民主、提升文化水平、加强文化自我管理。丹麦对外资企业进入文化产业无特别限</w:t>
      </w:r>
      <w:r w:rsidRPr="002C37EB">
        <w:rPr>
          <w:rFonts w:hAnsi="Times New Roman" w:cs="Times New Roman"/>
          <w:szCs w:val="24"/>
          <w14:ligatures w14:val="none"/>
        </w:rPr>
        <w:lastRenderedPageBreak/>
        <w:t>制，政府提出加强文化与商业结合、提升文化项目的商业化可能。</w:t>
      </w:r>
    </w:p>
    <w:p w14:paraId="7AB26518" w14:textId="364AF1D8" w:rsidR="002C37EB" w:rsidRPr="002C37EB" w:rsidRDefault="002C37EB" w:rsidP="00A36484">
      <w:pPr>
        <w:pStyle w:val="4"/>
        <w:ind w:firstLine="643"/>
      </w:pPr>
      <w:bookmarkStart w:id="27" w:name="_Toc217863813"/>
      <w:bookmarkStart w:id="28" w:name="_Toc218449391"/>
      <w:r w:rsidRPr="002C37EB">
        <w:t>投资方式的规定</w:t>
      </w:r>
      <w:bookmarkEnd w:id="27"/>
      <w:bookmarkEnd w:id="28"/>
    </w:p>
    <w:p w14:paraId="28DD492C"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丹麦，外国投资者可通过设立独立法人实体或建立分支机构进入，也可通过收购现有商业实体实施投资。公司设立通常无需公证、合法化或单独政府审批，仅需使用在线注册系统即可在数小时内完成注册。但若发起人并非丹麦注册法人，公司注册不能通过在线系统，需向丹麦商业局提交纸质申请，注册过程可能需数周。外国自然人与法人注册公司的程序基本相同。</w:t>
      </w:r>
    </w:p>
    <w:p w14:paraId="4C4CF5C6"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具体投资方式方面：在丹麦成立分公司或代表处无最低资本要求；设立私人有限公司（</w:t>
      </w:r>
      <w:proofErr w:type="spellStart"/>
      <w:r w:rsidRPr="002C37EB">
        <w:rPr>
          <w:rFonts w:hAnsi="Times New Roman" w:cs="Times New Roman"/>
          <w:szCs w:val="24"/>
          <w14:ligatures w14:val="none"/>
        </w:rPr>
        <w:t>ApS</w:t>
      </w:r>
      <w:proofErr w:type="spellEnd"/>
      <w:r w:rsidRPr="002C37EB">
        <w:rPr>
          <w:rFonts w:hAnsi="Times New Roman" w:cs="Times New Roman"/>
          <w:szCs w:val="24"/>
          <w14:ligatures w14:val="none"/>
        </w:rPr>
        <w:t>）至少需4万丹麦克朗，设立股份有限公司（A/S）至少需40万丹麦克朗。</w:t>
      </w:r>
      <w:r w:rsidRPr="002C37EB">
        <w:rPr>
          <w:rFonts w:hAnsi="Times New Roman" w:cs="Times New Roman"/>
          <w:szCs w:val="24"/>
          <w:vertAlign w:val="superscript"/>
          <w14:ligatures w14:val="none"/>
        </w:rPr>
        <w:footnoteReference w:id="6"/>
      </w:r>
      <w:r w:rsidRPr="002C37EB">
        <w:rPr>
          <w:rFonts w:hAnsi="Times New Roman" w:cs="Times New Roman"/>
          <w:szCs w:val="24"/>
          <w14:ligatures w14:val="none"/>
        </w:rPr>
        <w:t>关于并购流程：外资企业收购或并购目标公司时，首先应在工商注册部门查阅目标公司注册资料及其上一年年度报告，然后进行尽职调查，会计师、律师、银行共同审核涉案资料、债务情况。双方达成意向后签署合同。研发合作方面：丹麦在风电、声学等技术领域具有领先优势，2022年5月，丹麦高教部发布国际科研与创新合作指导原则报告。丹麦对外国投资建设开发区、出口加工区或工业园区尚无专门规定。</w:t>
      </w:r>
    </w:p>
    <w:p w14:paraId="3F7D9023" w14:textId="660288ED" w:rsidR="002C37EB" w:rsidRPr="002C37EB" w:rsidRDefault="002C37EB" w:rsidP="00A36484">
      <w:pPr>
        <w:pStyle w:val="4"/>
        <w:ind w:firstLine="643"/>
      </w:pPr>
      <w:bookmarkStart w:id="29" w:name="_Toc217863814"/>
      <w:bookmarkStart w:id="30" w:name="_Toc218449392"/>
      <w:r w:rsidRPr="002C37EB">
        <w:lastRenderedPageBreak/>
        <w:t>安全审查的规定</w:t>
      </w:r>
      <w:bookmarkEnd w:id="29"/>
      <w:bookmarkEnd w:id="30"/>
    </w:p>
    <w:p w14:paraId="4F0F5512"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根据《反洗钱法》（</w:t>
      </w:r>
      <w:proofErr w:type="spellStart"/>
      <w:r w:rsidRPr="002C37EB">
        <w:rPr>
          <w:rFonts w:hAnsi="Times New Roman" w:cs="Times New Roman"/>
          <w:szCs w:val="24"/>
          <w14:ligatures w14:val="none"/>
        </w:rPr>
        <w:t>Hvidvaskningsloven</w:t>
      </w:r>
      <w:proofErr w:type="spellEnd"/>
      <w:r w:rsidRPr="002C37EB">
        <w:rPr>
          <w:rFonts w:hAnsi="Times New Roman" w:cs="Times New Roman"/>
          <w:szCs w:val="24"/>
          <w14:ligatures w14:val="none"/>
        </w:rPr>
        <w:t>），对并购资金进行审查；若公司股东持股超过25％，需进行身份证明审查（包括护照复印件、私人住址等）。按照《丹麦竞争法》，当并购各方在丹麦境内年营业额合计超过9亿丹麦克朗，且至少两方在丹麦境内年营业额合计超过1亿丹麦克朗，或其中一方在丹麦境内年营业额超过38亿丹麦克朗，且其他方在全球年营业额超过38亿丹麦克朗时，丹麦政府将进行经营者集中反垄断审查。</w:t>
      </w:r>
      <w:r w:rsidRPr="002C37EB">
        <w:rPr>
          <w:rFonts w:hAnsi="Times New Roman" w:cs="Times New Roman"/>
          <w:szCs w:val="24"/>
          <w:vertAlign w:val="superscript"/>
          <w14:ligatures w14:val="none"/>
        </w:rPr>
        <w:footnoteReference w:id="7"/>
      </w:r>
    </w:p>
    <w:p w14:paraId="1A3F82E3"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此外，2021年5月，丹麦议会通过了《Investment Screening Act》（外国投资审查法），将国防、信息技术与涉密信息处理、两用品、关键技术及关键基础设施列为特殊敏感行业。若外国投资者获得上述领域中丹麦企业10</w:t>
      </w:r>
      <w:r w:rsidRPr="002C37EB">
        <w:rPr>
          <w:rFonts w:hAnsi="Times New Roman" w:cs="Times New Roman"/>
          <w:szCs w:val="24"/>
          <w14:ligatures w14:val="none"/>
        </w:rPr>
        <w:t> </w:t>
      </w:r>
      <w:r w:rsidRPr="002C37EB">
        <w:rPr>
          <w:rFonts w:hAnsi="Times New Roman" w:cs="Times New Roman"/>
          <w:szCs w:val="24"/>
          <w14:ligatures w14:val="none"/>
        </w:rPr>
        <w:t>%或以上股份/投票权，需接受审查；对于其他行业、非欧盟或欧洲自由贸易联盟国家的投资者，若其取得25</w:t>
      </w:r>
      <w:r w:rsidRPr="002C37EB">
        <w:rPr>
          <w:rFonts w:hAnsi="Times New Roman" w:cs="Times New Roman"/>
          <w:szCs w:val="24"/>
          <w14:ligatures w14:val="none"/>
        </w:rPr>
        <w:t> </w:t>
      </w:r>
      <w:r w:rsidRPr="002C37EB">
        <w:rPr>
          <w:rFonts w:hAnsi="Times New Roman" w:cs="Times New Roman"/>
          <w:szCs w:val="24"/>
          <w14:ligatures w14:val="none"/>
        </w:rPr>
        <w:t>%或以上股份/投票权，同样需受审查。执行单位为丹麦商业局，收到完整材料后约60个工作日内反馈意见；审查标准包括：外国投资者是否受外国政府或军方控制、是否参与破坏欧盟成员国、丹麦盟国或友好国国家安全行为、是否存在危害国家安全或公共秩序的重大风险、是否故意规避审查（如代持）等。</w:t>
      </w:r>
    </w:p>
    <w:p w14:paraId="118CEECC"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lastRenderedPageBreak/>
        <w:t>根据最新资料，审查机制正逐步实务化，2024年7月起已对某些能源离岸风</w:t>
      </w:r>
      <w:proofErr w:type="gramStart"/>
      <w:r w:rsidRPr="002C37EB">
        <w:rPr>
          <w:rFonts w:hAnsi="Times New Roman" w:cs="Times New Roman"/>
          <w:szCs w:val="24"/>
          <w14:ligatures w14:val="none"/>
        </w:rPr>
        <w:t>电项目</w:t>
      </w:r>
      <w:proofErr w:type="gramEnd"/>
      <w:r w:rsidRPr="002C37EB">
        <w:rPr>
          <w:rFonts w:hAnsi="Times New Roman" w:cs="Times New Roman"/>
          <w:szCs w:val="24"/>
          <w14:ligatures w14:val="none"/>
        </w:rPr>
        <w:t>引入特殊金融协议审查程序。</w:t>
      </w:r>
    </w:p>
    <w:p w14:paraId="66B1C1A7" w14:textId="14E9923B" w:rsidR="002C37EB" w:rsidRPr="002C37EB" w:rsidRDefault="002C37EB" w:rsidP="00A36484">
      <w:pPr>
        <w:pStyle w:val="4"/>
        <w:ind w:firstLine="643"/>
      </w:pPr>
      <w:bookmarkStart w:id="31" w:name="_Toc217863815"/>
      <w:bookmarkStart w:id="32" w:name="_Toc218449393"/>
      <w:r w:rsidRPr="002C37EB">
        <w:t>基础设施PPP模式的规定</w:t>
      </w:r>
      <w:bookmarkEnd w:id="31"/>
      <w:bookmarkEnd w:id="32"/>
    </w:p>
    <w:p w14:paraId="4C5F10B0"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尚未出台专门适用于公共-私营伙伴关系（PPP）的法律，也未对外资在丹麦开展PPP项目设立专门规则。特许经营的年限一般可通过合同协商确定。近年来，丹麦广泛运用PPP模式推动大型基础设施项目（如碳中和工程）。目前，在丹麦开展PPP项目的外资主体大多来自欧盟国家，中资企业尚未大规模进入。Danish Competition and Consumer Authority（丹麦竞争和消费者管理局）已发布PPP项目模型标准，旨在协助公共机构与私营企业（尤其是市政部门）更好采用该模式，并提供相关咨询服务。</w:t>
      </w:r>
      <w:r w:rsidRPr="002C37EB">
        <w:rPr>
          <w:rFonts w:hAnsi="Times New Roman" w:cs="Times New Roman"/>
          <w:szCs w:val="24"/>
          <w:vertAlign w:val="superscript"/>
          <w14:ligatures w14:val="none"/>
        </w:rPr>
        <w:footnoteReference w:id="8"/>
      </w:r>
    </w:p>
    <w:p w14:paraId="761014CA" w14:textId="56E33600" w:rsidR="002C37EB" w:rsidRPr="002C37EB" w:rsidRDefault="002C37EB" w:rsidP="00AF20D2">
      <w:pPr>
        <w:pStyle w:val="3"/>
      </w:pPr>
      <w:bookmarkStart w:id="33" w:name="_Toc217863816"/>
      <w:bookmarkStart w:id="34" w:name="_Toc217652635"/>
      <w:bookmarkStart w:id="35" w:name="_Toc218449394"/>
      <w:r w:rsidRPr="002C37EB">
        <w:t>特殊经济区域规定</w:t>
      </w:r>
      <w:bookmarkEnd w:id="33"/>
      <w:bookmarkEnd w:id="34"/>
      <w:bookmarkEnd w:id="35"/>
    </w:p>
    <w:p w14:paraId="61FA75F4" w14:textId="057BFFF6" w:rsidR="002C37EB" w:rsidRPr="002C37EB" w:rsidRDefault="002C37EB" w:rsidP="00A36484">
      <w:pPr>
        <w:pStyle w:val="4"/>
        <w:numPr>
          <w:ilvl w:val="0"/>
          <w:numId w:val="15"/>
        </w:numPr>
        <w:ind w:left="0" w:firstLine="643"/>
      </w:pPr>
      <w:bookmarkStart w:id="36" w:name="_Toc217863817"/>
      <w:bookmarkStart w:id="37" w:name="_Toc218449395"/>
      <w:r w:rsidRPr="002C37EB">
        <w:t>经济特区法规</w:t>
      </w:r>
      <w:bookmarkEnd w:id="36"/>
      <w:bookmarkEnd w:id="37"/>
    </w:p>
    <w:p w14:paraId="608BF31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丹麦本身并未制定专门的经济特区立法，</w:t>
      </w:r>
      <w:proofErr w:type="gramStart"/>
      <w:r w:rsidRPr="002C37EB">
        <w:rPr>
          <w:rFonts w:hAnsi="Times New Roman" w:cs="Times New Roman"/>
          <w:szCs w:val="24"/>
          <w14:ligatures w14:val="none"/>
        </w:rPr>
        <w:t>不</w:t>
      </w:r>
      <w:proofErr w:type="gramEnd"/>
      <w:r w:rsidRPr="002C37EB">
        <w:rPr>
          <w:rFonts w:hAnsi="Times New Roman" w:cs="Times New Roman"/>
          <w:szCs w:val="24"/>
          <w14:ligatures w14:val="none"/>
        </w:rPr>
        <w:t>过早在1960年通过的《哥本哈根自由港法案》为该自由港区域享有税费减免政策奠定法律基础。</w:t>
      </w:r>
    </w:p>
    <w:p w14:paraId="73FAD229" w14:textId="7899523A" w:rsidR="002C37EB" w:rsidRPr="002C37EB" w:rsidRDefault="002C37EB" w:rsidP="00A36484">
      <w:pPr>
        <w:pStyle w:val="4"/>
        <w:ind w:firstLine="643"/>
      </w:pPr>
      <w:bookmarkStart w:id="38" w:name="_Toc217863818"/>
      <w:bookmarkStart w:id="39" w:name="_Toc218449396"/>
      <w:r w:rsidRPr="002C37EB">
        <w:t>经济特区介绍</w:t>
      </w:r>
      <w:bookmarkEnd w:id="38"/>
      <w:bookmarkEnd w:id="39"/>
    </w:p>
    <w:p w14:paraId="785D704B" w14:textId="77777777" w:rsidR="002C37EB" w:rsidRPr="002C37EB" w:rsidRDefault="002C37EB" w:rsidP="002C37EB">
      <w:pPr>
        <w:widowControl w:val="0"/>
        <w:ind w:firstLine="640"/>
        <w:rPr>
          <w:rFonts w:hAnsi="Times New Roman" w:cs="Times New Roman"/>
          <w:szCs w:val="24"/>
          <w14:ligatures w14:val="none"/>
        </w:rPr>
      </w:pPr>
      <w:bookmarkStart w:id="40" w:name="OLE_LINK5"/>
      <w:r w:rsidRPr="002C37EB">
        <w:rPr>
          <w:rFonts w:hAnsi="Times New Roman" w:cs="Times New Roman"/>
          <w:szCs w:val="24"/>
          <w14:ligatures w14:val="none"/>
        </w:rPr>
        <w:t>哥本哈根自由港是丹麦境内唯一官方意义上的保税区，地处哥本哈根</w:t>
      </w:r>
      <w:r w:rsidRPr="002C37EB">
        <w:rPr>
          <w:rFonts w:hAnsi="Times New Roman" w:cs="Times New Roman"/>
          <w:szCs w:val="24"/>
          <w14:ligatures w14:val="none"/>
        </w:rPr>
        <w:t>—</w:t>
      </w:r>
      <w:r w:rsidRPr="002C37EB">
        <w:rPr>
          <w:rFonts w:hAnsi="Times New Roman" w:cs="Times New Roman"/>
          <w:szCs w:val="24"/>
          <w14:ligatures w14:val="none"/>
        </w:rPr>
        <w:t>马尔默港口区，构成北欧、波罗的海及东欧</w:t>
      </w:r>
      <w:r w:rsidRPr="002C37EB">
        <w:rPr>
          <w:rFonts w:hAnsi="Times New Roman" w:cs="Times New Roman"/>
          <w:szCs w:val="24"/>
          <w14:ligatures w14:val="none"/>
        </w:rPr>
        <w:lastRenderedPageBreak/>
        <w:t>和俄罗斯区域货物转运的重要节点。该自由港区仓储面积约达120万平方米，可在经丹麦海关批准后，进行免税存放并转运货物；此外，区内还可开展出口加工业务。如货物转入丹麦国内市场，则须依照一般关税及增值税制度缴纳税费。当前尚未有中资企业入驻该自由港。</w:t>
      </w:r>
    </w:p>
    <w:p w14:paraId="33A9E1C3" w14:textId="0FB8FCA3" w:rsidR="002C37EB" w:rsidRPr="002C37EB" w:rsidRDefault="002C37EB" w:rsidP="00A36484">
      <w:pPr>
        <w:pStyle w:val="4"/>
        <w:ind w:firstLine="643"/>
      </w:pPr>
      <w:bookmarkStart w:id="41" w:name="_Toc217863819"/>
      <w:bookmarkStart w:id="42" w:name="_Toc218449397"/>
      <w:bookmarkEnd w:id="40"/>
      <w:r w:rsidRPr="002C37EB">
        <w:t>重点行政区域及相关法律法规</w:t>
      </w:r>
      <w:bookmarkEnd w:id="41"/>
      <w:bookmarkEnd w:id="42"/>
    </w:p>
    <w:p w14:paraId="1746BAB4"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丹麦本土的五个大区均未制定区别于全国法律的特殊行政投资法规。然而，丹麦的两个自治领土</w:t>
      </w:r>
      <w:r w:rsidRPr="002C37EB">
        <w:rPr>
          <w:rFonts w:hAnsi="Times New Roman" w:cs="Times New Roman"/>
          <w:szCs w:val="24"/>
          <w14:ligatures w14:val="none"/>
        </w:rPr>
        <w:t>——</w:t>
      </w:r>
      <w:r w:rsidRPr="002C37EB">
        <w:rPr>
          <w:rFonts w:hAnsi="Times New Roman" w:cs="Times New Roman"/>
          <w:szCs w:val="24"/>
          <w14:ligatures w14:val="none"/>
        </w:rPr>
        <w:t>格陵兰（Greenland）与法罗群岛（Faroe Islands）各自拥有议会并具有立法权，欢迎外国投资者。格陵兰尤其值得关注，其矿产资源丰富，包括铀和稀土等，而丹麦政府与美国政府对外国资本（尤其来自中国的投资者）进入格陵兰十分敏感。根据1951年签署</w:t>
      </w:r>
      <w:proofErr w:type="gramStart"/>
      <w:r w:rsidRPr="002C37EB">
        <w:rPr>
          <w:rFonts w:hAnsi="Times New Roman" w:cs="Times New Roman"/>
          <w:szCs w:val="24"/>
          <w14:ligatures w14:val="none"/>
        </w:rPr>
        <w:t>的丹美防务</w:t>
      </w:r>
      <w:proofErr w:type="gramEnd"/>
      <w:r w:rsidRPr="002C37EB">
        <w:rPr>
          <w:rFonts w:hAnsi="Times New Roman" w:cs="Times New Roman"/>
          <w:szCs w:val="24"/>
          <w14:ligatures w14:val="none"/>
        </w:rPr>
        <w:t>条约，美国在格陵兰拥有战略军事设施（例如位于北极圈以北约1200公里处的图勒空军基地），因此投资审查、资源开发法律环境具备高度战略敏感性。</w:t>
      </w:r>
    </w:p>
    <w:p w14:paraId="0F753C19" w14:textId="2660BD50" w:rsidR="002C37EB" w:rsidRPr="002C37EB" w:rsidRDefault="002C37EB" w:rsidP="00AF20D2">
      <w:pPr>
        <w:pStyle w:val="3"/>
      </w:pPr>
      <w:bookmarkStart w:id="43" w:name="_Toc217863820"/>
      <w:bookmarkStart w:id="44" w:name="_Toc217652636"/>
      <w:bookmarkStart w:id="45" w:name="_Toc218449398"/>
      <w:r w:rsidRPr="002C37EB">
        <w:t>劳动就业规定</w:t>
      </w:r>
      <w:bookmarkEnd w:id="43"/>
      <w:bookmarkEnd w:id="44"/>
      <w:bookmarkEnd w:id="45"/>
    </w:p>
    <w:p w14:paraId="1F8F411C" w14:textId="1E211FE8" w:rsidR="002C37EB" w:rsidRPr="002C37EB" w:rsidRDefault="002C37EB" w:rsidP="00A36484">
      <w:pPr>
        <w:pStyle w:val="4"/>
        <w:numPr>
          <w:ilvl w:val="0"/>
          <w:numId w:val="16"/>
        </w:numPr>
        <w:ind w:left="0" w:firstLine="643"/>
      </w:pPr>
      <w:bookmarkStart w:id="46" w:name="_Toc217863821"/>
      <w:bookmarkStart w:id="47" w:name="_Toc218449399"/>
      <w:r w:rsidRPr="002C37EB">
        <w:t>劳动法律框架的基本原则</w:t>
      </w:r>
      <w:bookmarkEnd w:id="46"/>
      <w:bookmarkEnd w:id="47"/>
    </w:p>
    <w:p w14:paraId="55C1813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hint="eastAsia"/>
          <w:szCs w:val="24"/>
          <w14:ligatures w14:val="none"/>
        </w:rPr>
        <w:t>丹麦劳动法律体系的根本宗旨在于维护劳动者的合法权益，实现雇主与劳动者之间的利益均衡，推动社会和谐稳定发展。该法律框架的特点是根据不同类型的雇佣人员实施</w:t>
      </w:r>
      <w:r w:rsidRPr="002C37EB">
        <w:rPr>
          <w:rFonts w:hAnsi="Times New Roman" w:cs="Times New Roman" w:hint="eastAsia"/>
          <w:szCs w:val="24"/>
          <w14:ligatures w14:val="none"/>
        </w:rPr>
        <w:lastRenderedPageBreak/>
        <w:t>分类管理。</w:t>
      </w:r>
      <w:r w:rsidRPr="002C37EB">
        <w:rPr>
          <w:rFonts w:hAnsi="Times New Roman" w:cs="Times New Roman"/>
          <w:szCs w:val="24"/>
          <w:vertAlign w:val="superscript"/>
          <w14:ligatures w14:val="none"/>
        </w:rPr>
        <w:footnoteReference w:id="9"/>
      </w:r>
    </w:p>
    <w:p w14:paraId="7B874E6E" w14:textId="14929673" w:rsidR="002C37EB" w:rsidRPr="002C37EB" w:rsidRDefault="002C37EB" w:rsidP="00A36484">
      <w:pPr>
        <w:pStyle w:val="4"/>
        <w:ind w:firstLine="643"/>
      </w:pPr>
      <w:bookmarkStart w:id="48" w:name="_Toc217863822"/>
      <w:bookmarkStart w:id="49" w:name="_Toc218449400"/>
      <w:r w:rsidRPr="002C37EB">
        <w:t>就业协议的签订机制</w:t>
      </w:r>
      <w:bookmarkEnd w:id="48"/>
      <w:bookmarkEnd w:id="49"/>
    </w:p>
    <w:p w14:paraId="10D8D34A"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hint="eastAsia"/>
          <w:szCs w:val="24"/>
          <w14:ligatures w14:val="none"/>
        </w:rPr>
        <w:t>在丹麦，薪酬及其他雇佣条件通过劳动者代表组织与雇主组织协商确定。通常由工会与雇主协会签订集体协议，协议内容涵盖薪资标准、工作时长、职业培训、养老保障等事项，同时明确病假期间及解雇/辞职期间的工资处理办法。基于历史传统，丹麦法律未对这些待遇事项</w:t>
      </w:r>
      <w:proofErr w:type="gramStart"/>
      <w:r w:rsidRPr="002C37EB">
        <w:rPr>
          <w:rFonts w:hAnsi="Times New Roman" w:cs="Times New Roman" w:hint="eastAsia"/>
          <w:szCs w:val="24"/>
          <w14:ligatures w14:val="none"/>
        </w:rPr>
        <w:t>作出</w:t>
      </w:r>
      <w:proofErr w:type="gramEnd"/>
      <w:r w:rsidRPr="002C37EB">
        <w:rPr>
          <w:rFonts w:hAnsi="Times New Roman" w:cs="Times New Roman" w:hint="eastAsia"/>
          <w:szCs w:val="24"/>
          <w14:ligatures w14:val="none"/>
        </w:rPr>
        <w:t>具体规定。劳动市场纠纷由相关各方自主协商解决，政府不介入谈判进程。</w:t>
      </w:r>
      <w:r w:rsidRPr="002C37EB">
        <w:rPr>
          <w:rFonts w:hAnsi="Times New Roman" w:cs="Times New Roman"/>
          <w:szCs w:val="24"/>
          <w:vertAlign w:val="superscript"/>
          <w14:ligatures w14:val="none"/>
        </w:rPr>
        <w:footnoteReference w:id="10"/>
      </w:r>
    </w:p>
    <w:p w14:paraId="692E8523" w14:textId="79B87CC6" w:rsidR="002C37EB" w:rsidRPr="002C37EB" w:rsidRDefault="002C37EB" w:rsidP="00A36484">
      <w:pPr>
        <w:pStyle w:val="4"/>
        <w:ind w:firstLine="643"/>
      </w:pPr>
      <w:bookmarkStart w:id="50" w:name="_Toc218449401"/>
      <w:r w:rsidRPr="002C37EB">
        <w:t>工作时间与休假制度</w:t>
      </w:r>
      <w:bookmarkEnd w:id="50"/>
    </w:p>
    <w:p w14:paraId="38B685F4"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标准全职工作时间为每周37小时。受薪雇员享有带薪休假权利,每年可获得5周带薪假期。女性和男性劳动者均享有产假权利。</w:t>
      </w:r>
      <w:r w:rsidRPr="002C37EB">
        <w:rPr>
          <w:rFonts w:hAnsi="Times New Roman" w:cs="Times New Roman"/>
          <w:szCs w:val="24"/>
          <w:vertAlign w:val="superscript"/>
          <w14:ligatures w14:val="none"/>
        </w:rPr>
        <w:footnoteReference w:id="11"/>
      </w:r>
      <w:r w:rsidRPr="002C37EB">
        <w:rPr>
          <w:rFonts w:hAnsi="Times New Roman" w:cs="Times New Roman"/>
          <w:szCs w:val="24"/>
          <w14:ligatures w14:val="none"/>
        </w:rPr>
        <w:t>丹麦对工作环境、职业健康与安全防护等方面制定了严格的规范标准。法律禁止未满13周岁的儿童在家庭范围外从事有报酬的劳动。丹麦就业中心承担协助劳动者就业的主要职责,失业人员可在此办理失业登记,并获得就业规划方面的指导服务。各区县均设有个人就业服务中心</w:t>
      </w:r>
      <w:r w:rsidRPr="002C37EB">
        <w:rPr>
          <w:rFonts w:hAnsi="Times New Roman" w:cs="Times New Roman"/>
          <w:szCs w:val="24"/>
          <w14:ligatures w14:val="none"/>
        </w:rPr>
        <w:lastRenderedPageBreak/>
        <w:t>为求职者提供帮助。</w:t>
      </w:r>
      <w:r w:rsidRPr="002C37EB">
        <w:rPr>
          <w:rFonts w:hAnsi="Times New Roman" w:cs="Times New Roman"/>
          <w:szCs w:val="24"/>
          <w:vertAlign w:val="superscript"/>
          <w14:ligatures w14:val="none"/>
        </w:rPr>
        <w:footnoteReference w:id="12"/>
      </w:r>
    </w:p>
    <w:p w14:paraId="4D3DAD3E" w14:textId="3B19BD85" w:rsidR="002C37EB" w:rsidRPr="002C37EB" w:rsidRDefault="002C37EB" w:rsidP="00A36484">
      <w:pPr>
        <w:pStyle w:val="4"/>
        <w:ind w:firstLine="643"/>
      </w:pPr>
      <w:bookmarkStart w:id="51" w:name="_Toc217863823"/>
      <w:bookmarkStart w:id="52" w:name="_Toc218449402"/>
      <w:r w:rsidRPr="002C37EB">
        <w:t>相关法律体系</w:t>
      </w:r>
      <w:bookmarkEnd w:id="51"/>
      <w:bookmarkEnd w:id="52"/>
    </w:p>
    <w:p w14:paraId="522C07ED"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涉及劳动者权益的法律包括《丹麦受薪雇员法》《雇员所得税法》《养老金法》《强制工伤保险法》和《健康法》等。</w:t>
      </w:r>
    </w:p>
    <w:p w14:paraId="7E38F838" w14:textId="24074966" w:rsidR="002C37EB" w:rsidRPr="002C37EB" w:rsidRDefault="002C37EB" w:rsidP="00A36484">
      <w:pPr>
        <w:pStyle w:val="4"/>
        <w:ind w:firstLine="643"/>
      </w:pPr>
      <w:bookmarkStart w:id="53" w:name="_Toc218449403"/>
      <w:r w:rsidRPr="002C37EB">
        <w:t>外籍人员就业规定</w:t>
      </w:r>
      <w:bookmarkEnd w:id="53"/>
    </w:p>
    <w:p w14:paraId="6A97767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hint="eastAsia"/>
          <w:szCs w:val="24"/>
          <w14:ligatures w14:val="none"/>
        </w:rPr>
        <w:t>根据丹麦相关规定，外籍人员在丹麦居留和工作需向丹麦移民局申请居留许可和工作许可。获得许可需满足以下条件：每周工作时间不少于37小时；须签订正式劳动合同，薪酬符合相应工作类别的标准，具备相应工作条件；雇主必须已在相关部门完成注册，并依照丹麦法律履行纳税义务；雇主不得涉及劳资纠纷或相关法律诉讼。作为欧盟成员国，丹麦执行欧盟统一的劳工政策。获得欧盟内部自由流动许可的外籍人员可在丹麦就业。在引进外籍劳动力时，丹麦优先考虑来自欧盟国家的人员，仅在确实无法找到合适的欧盟人选时，方可聘用非欧盟国家人员。目前，非欧盟国家的非技术性劳动力在丹麦获得工作许可的难度较大。</w:t>
      </w:r>
      <w:r w:rsidRPr="002C37EB">
        <w:rPr>
          <w:rFonts w:hAnsi="Times New Roman" w:cs="Times New Roman"/>
          <w:szCs w:val="24"/>
          <w:vertAlign w:val="superscript"/>
          <w14:ligatures w14:val="none"/>
        </w:rPr>
        <w:footnoteReference w:id="13"/>
      </w:r>
    </w:p>
    <w:p w14:paraId="4FA90328" w14:textId="3C7D2DF6" w:rsidR="002C37EB" w:rsidRPr="002C37EB" w:rsidRDefault="002C37EB" w:rsidP="00AF20D2">
      <w:pPr>
        <w:pStyle w:val="3"/>
      </w:pPr>
      <w:bookmarkStart w:id="54" w:name="_Toc217652637"/>
      <w:bookmarkStart w:id="55" w:name="_Toc217863824"/>
      <w:bookmarkStart w:id="56" w:name="_Toc218449404"/>
      <w:r w:rsidRPr="002C37EB">
        <w:t>环境保护规定</w:t>
      </w:r>
      <w:bookmarkEnd w:id="54"/>
      <w:bookmarkEnd w:id="55"/>
      <w:bookmarkEnd w:id="56"/>
    </w:p>
    <w:p w14:paraId="21EAF165" w14:textId="389F0DDA" w:rsidR="002C37EB" w:rsidRPr="002C37EB" w:rsidRDefault="002C37EB" w:rsidP="00731C23">
      <w:pPr>
        <w:pStyle w:val="4"/>
        <w:numPr>
          <w:ilvl w:val="0"/>
          <w:numId w:val="17"/>
        </w:numPr>
        <w:ind w:left="0" w:firstLine="643"/>
      </w:pPr>
      <w:bookmarkStart w:id="57" w:name="_Toc217863825"/>
      <w:bookmarkStart w:id="58" w:name="_Toc218449405"/>
      <w:r w:rsidRPr="002C37EB">
        <w:t>环保管理机构</w:t>
      </w:r>
      <w:bookmarkEnd w:id="57"/>
      <w:bookmarkEnd w:id="58"/>
    </w:p>
    <w:p w14:paraId="4D3B7DB1"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hint="eastAsia"/>
          <w:szCs w:val="24"/>
          <w14:ligatures w14:val="none"/>
        </w:rPr>
        <w:t>丹麦是全球最早建立政府环境管理机构的国家之一。丹麦环境部承担环境保护领域的政策制定与行政监管职责，主</w:t>
      </w:r>
      <w:r w:rsidRPr="002C37EB">
        <w:rPr>
          <w:rFonts w:hAnsi="Times New Roman" w:cs="Times New Roman" w:hint="eastAsia"/>
          <w:szCs w:val="24"/>
          <w14:ligatures w14:val="none"/>
        </w:rPr>
        <w:lastRenderedPageBreak/>
        <w:t>要工作范围涵盖：制定农业发展规划框架，设计可持续发展和资源高效利用方案，推进环境污染预防与监管工作，强化自然生态保护，确保清洁饮用水开发与污水处理，维护消费者合法权益，以及相关产业信息的采集与分析研究等。</w:t>
      </w:r>
    </w:p>
    <w:p w14:paraId="7E51CC82" w14:textId="660B1E35" w:rsidR="002C37EB" w:rsidRPr="002C37EB" w:rsidRDefault="002C37EB" w:rsidP="00731C23">
      <w:pPr>
        <w:pStyle w:val="4"/>
        <w:ind w:firstLine="643"/>
      </w:pPr>
      <w:bookmarkStart w:id="59" w:name="_Toc217863826"/>
      <w:bookmarkStart w:id="60" w:name="_Toc218449406"/>
      <w:r w:rsidRPr="002C37EB">
        <w:t>主要环保法律体系</w:t>
      </w:r>
      <w:bookmarkEnd w:id="59"/>
      <w:bookmarkEnd w:id="60"/>
    </w:p>
    <w:p w14:paraId="231F95E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丹麦环境保护相关法律法规包括《环境保护法》《化学物质与产品法》《废弃物处理法》《海洋环境法》等。</w:t>
      </w:r>
    </w:p>
    <w:p w14:paraId="0DC7AB4C" w14:textId="3E37F102" w:rsidR="002C37EB" w:rsidRPr="002C37EB" w:rsidRDefault="002C37EB" w:rsidP="00731C23">
      <w:pPr>
        <w:pStyle w:val="4"/>
        <w:ind w:firstLine="643"/>
      </w:pPr>
      <w:bookmarkStart w:id="61" w:name="_Toc217863827"/>
      <w:bookmarkStart w:id="62" w:name="_Toc218449407"/>
      <w:r w:rsidRPr="002C37EB">
        <w:t>环保法律法规核心要点</w:t>
      </w:r>
      <w:bookmarkEnd w:id="61"/>
      <w:bookmarkEnd w:id="62"/>
    </w:p>
    <w:p w14:paraId="4003424C"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丹麦环境保护的基础性法律是1992年颁布实施的《环境保护法》。该法对地下水资源和废水处理、大气污染和噪声污染、土地管理和固体废弃物处置等方面均</w:t>
      </w:r>
      <w:proofErr w:type="gramStart"/>
      <w:r w:rsidRPr="002C37EB">
        <w:rPr>
          <w:rFonts w:hAnsi="Times New Roman" w:cs="Times New Roman"/>
          <w:szCs w:val="24"/>
          <w14:ligatures w14:val="none"/>
        </w:rPr>
        <w:t>作出</w:t>
      </w:r>
      <w:proofErr w:type="gramEnd"/>
      <w:r w:rsidRPr="002C37EB">
        <w:rPr>
          <w:rFonts w:hAnsi="Times New Roman" w:cs="Times New Roman"/>
          <w:szCs w:val="24"/>
          <w14:ligatures w14:val="none"/>
        </w:rPr>
        <w:t>了明确规定。</w:t>
      </w:r>
    </w:p>
    <w:p w14:paraId="5813469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对丹麦环境产生影响的主要行业领域包括农业耕作、渔业生产、工业制造、建筑施工、交通运输、能源开发、服务业及家庭生活等。地方政府负责管理生活垃圾和工商业产生的废弃物，包括危险废弃物的处置。废弃物处理遵循优先顺序为:首先考虑回收再利用，其次采用焚烧发电方式,最后才使用填埋处理。</w:t>
      </w:r>
      <w:r w:rsidRPr="002C37EB">
        <w:rPr>
          <w:rFonts w:hAnsi="Times New Roman" w:cs="Times New Roman"/>
          <w:szCs w:val="24"/>
          <w:vertAlign w:val="superscript"/>
          <w14:ligatures w14:val="none"/>
        </w:rPr>
        <w:footnoteReference w:id="14"/>
      </w:r>
      <w:r w:rsidRPr="002C37EB">
        <w:rPr>
          <w:rFonts w:hAnsi="Times New Roman" w:cs="Times New Roman"/>
          <w:szCs w:val="24"/>
          <w14:ligatures w14:val="none"/>
        </w:rPr>
        <w:t>丹麦长期致力于减少废弃物产生量和提高回收利用率,未来废弃物管理将继续沿此方向推进。</w:t>
      </w:r>
    </w:p>
    <w:p w14:paraId="7687AE53"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在丹麦，农药的销售和使用均须获得国家批准。自1986年起,丹麦实施减少农药使用的行动方案,并逐步禁止在公</w:t>
      </w:r>
      <w:r w:rsidRPr="002C37EB">
        <w:rPr>
          <w:rFonts w:hAnsi="Times New Roman" w:cs="Times New Roman"/>
          <w:szCs w:val="24"/>
          <w14:ligatures w14:val="none"/>
        </w:rPr>
        <w:lastRenderedPageBreak/>
        <w:t>共场所使用农药。</w:t>
      </w:r>
      <w:r w:rsidRPr="002C37EB">
        <w:rPr>
          <w:rFonts w:hAnsi="Times New Roman" w:cs="Times New Roman"/>
          <w:szCs w:val="24"/>
          <w:vertAlign w:val="superscript"/>
          <w14:ligatures w14:val="none"/>
        </w:rPr>
        <w:footnoteReference w:id="15"/>
      </w:r>
      <w:r w:rsidRPr="002C37EB">
        <w:rPr>
          <w:rFonts w:hAnsi="Times New Roman" w:cs="Times New Roman"/>
          <w:szCs w:val="24"/>
          <w14:ligatures w14:val="none"/>
        </w:rPr>
        <w:t>工业和服务业的环保重点集中在环境管理体系、环保技术应用、资源消耗控制、产品结构优化、危险物质使用管理及废弃物产</w:t>
      </w:r>
      <w:proofErr w:type="gramStart"/>
      <w:r w:rsidRPr="002C37EB">
        <w:rPr>
          <w:rFonts w:hAnsi="Times New Roman" w:cs="Times New Roman"/>
          <w:szCs w:val="24"/>
          <w14:ligatures w14:val="none"/>
        </w:rPr>
        <w:t>生控制</w:t>
      </w:r>
      <w:proofErr w:type="gramEnd"/>
      <w:r w:rsidRPr="002C37EB">
        <w:rPr>
          <w:rFonts w:hAnsi="Times New Roman" w:cs="Times New Roman"/>
          <w:szCs w:val="24"/>
          <w14:ligatures w14:val="none"/>
        </w:rPr>
        <w:t>等方面。丹麦建筑行业的环保工作重点是实施环境友好型工程规划，采用环境影响较小的建筑材料。</w:t>
      </w:r>
    </w:p>
    <w:p w14:paraId="4E378B1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环境监管机构负责监督企业运营过程中是否对环境造成损害。若企业违反相关规定，监管机构首先发出警告并要求整改。若企业拒不改正，监管机构有权对其处以5000至1万丹麦克朗的罚款。如企业行为对自然环境及自然资源造成严重破坏，将根据情节加重处罚，企业负责人最高可被判处2年监禁。</w:t>
      </w:r>
      <w:r w:rsidRPr="002C37EB">
        <w:rPr>
          <w:rFonts w:hAnsi="Times New Roman" w:cs="Times New Roman"/>
          <w:szCs w:val="24"/>
          <w:vertAlign w:val="superscript"/>
          <w14:ligatures w14:val="none"/>
        </w:rPr>
        <w:footnoteReference w:id="16"/>
      </w:r>
    </w:p>
    <w:p w14:paraId="43DF71E1" w14:textId="17C2D5F0" w:rsidR="002C37EB" w:rsidRPr="002C37EB" w:rsidRDefault="002C37EB" w:rsidP="00731C23">
      <w:pPr>
        <w:pStyle w:val="4"/>
        <w:ind w:firstLine="643"/>
      </w:pPr>
      <w:bookmarkStart w:id="63" w:name="_Toc217863828"/>
      <w:bookmarkStart w:id="64" w:name="_Toc218449408"/>
      <w:r w:rsidRPr="002C37EB">
        <w:t>环保影响评估法规</w:t>
      </w:r>
      <w:bookmarkEnd w:id="63"/>
      <w:bookmarkEnd w:id="64"/>
    </w:p>
    <w:p w14:paraId="6E20A8FD"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丹麦在遵循欧盟法律原则的基础上，对涉及投资项目的新建工程制定了环保要求,即企业必须在项目开工前获得以下许可:</w:t>
      </w:r>
    </w:p>
    <w:p w14:paraId="75FFF37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（1）环境许可证。申请内容须包含风险管理措施。获得该许可需确保项目设计中的相关措施和技术符合减少环境影响的要求；</w:t>
      </w:r>
    </w:p>
    <w:p w14:paraId="772BD1F3"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（2）废水排放许可。可合并在环境许可证中；</w:t>
      </w:r>
    </w:p>
    <w:p w14:paraId="6722609E"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lastRenderedPageBreak/>
        <w:t>（3）建筑许可。获得该许可需确保项目运营符合丹麦消防法规要求。</w:t>
      </w:r>
    </w:p>
    <w:p w14:paraId="2CE18BA7" w14:textId="77777777" w:rsidR="002C37EB" w:rsidRPr="002C37EB" w:rsidRDefault="002C37EB" w:rsidP="002C37EB">
      <w:pPr>
        <w:widowControl w:val="0"/>
        <w:ind w:firstLine="640"/>
        <w:rPr>
          <w:rFonts w:hAnsi="Times New Roman" w:cs="Times New Roman"/>
          <w:b/>
          <w:bCs/>
          <w:szCs w:val="24"/>
          <w:u w:val="single"/>
          <w14:ligatures w14:val="none"/>
        </w:rPr>
      </w:pPr>
      <w:r w:rsidRPr="002C37EB">
        <w:rPr>
          <w:rFonts w:hAnsi="Times New Roman" w:cs="Times New Roman"/>
          <w:szCs w:val="24"/>
          <w14:ligatures w14:val="none"/>
        </w:rPr>
        <w:t>环</w:t>
      </w:r>
      <w:proofErr w:type="gramStart"/>
      <w:r w:rsidRPr="002C37EB">
        <w:rPr>
          <w:rFonts w:hAnsi="Times New Roman" w:cs="Times New Roman"/>
          <w:szCs w:val="24"/>
          <w14:ligatures w14:val="none"/>
        </w:rPr>
        <w:t>评申请</w:t>
      </w:r>
      <w:proofErr w:type="gramEnd"/>
      <w:r w:rsidRPr="002C37EB">
        <w:rPr>
          <w:rFonts w:hAnsi="Times New Roman" w:cs="Times New Roman"/>
          <w:szCs w:val="24"/>
          <w14:ligatures w14:val="none"/>
        </w:rPr>
        <w:t>程序主要包括以下内容:（1）项目筛选；（2）确定评估范围；（3）明确环境保护法律责任；（4）评估项目可能对环境造成的影响；（5）提出替代实施方案；（6）与企业进行沟通协商；（7）制定环境保护措施；（8）编制评估总结说明;（9）监测项目对环境的实际影响。</w:t>
      </w:r>
    </w:p>
    <w:p w14:paraId="63B761FA"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环评机构为丹麦环境保护局（Danish Environmental Protection Agency）或相关授权部门（如地方政府）负责对企业开展的投资或承包工程项目进行环境影响评估。根据企业性质和所属产业的不同,环评所需时间和费用存在差异。</w:t>
      </w:r>
    </w:p>
    <w:p w14:paraId="0D36ABA2" w14:textId="22616B73" w:rsidR="002C37EB" w:rsidRPr="002C37EB" w:rsidRDefault="002C37EB" w:rsidP="00AF20D2">
      <w:pPr>
        <w:pStyle w:val="3"/>
      </w:pPr>
      <w:bookmarkStart w:id="65" w:name="_Toc217652638"/>
      <w:bookmarkStart w:id="66" w:name="_Toc217863829"/>
      <w:bookmarkStart w:id="67" w:name="_Toc218449409"/>
      <w:r w:rsidRPr="002C37EB">
        <w:t>反商业贿赂规定</w:t>
      </w:r>
      <w:bookmarkEnd w:id="65"/>
      <w:bookmarkEnd w:id="66"/>
      <w:bookmarkEnd w:id="67"/>
    </w:p>
    <w:p w14:paraId="05632A57"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丹麦涉及反腐败及商业贿赂的主要法律规范包括：《刑法典》、外交部《反对腐败政策》以及工业联合会面向成员企业发布的《公司规避腐败指南》等指导文件。</w:t>
      </w:r>
    </w:p>
    <w:p w14:paraId="485BFFD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hint="eastAsia"/>
          <w:szCs w:val="24"/>
          <w14:ligatures w14:val="none"/>
        </w:rPr>
        <w:t>作为“透明国际”全球清廉排行榜的常年领先者，丹麦在反腐败领域成效卓著。该国对商业贿赂采取“零容忍”态度，腐败现象在丹麦社会几乎销声匿迹，反腐倡廉已深深融入国民文化传统。在公务接待方面，丹麦规定人均餐饮标准通常控制在1000克朗以内（约合人民币1000元），仅在首相接待外宾等特定场合可适度放宽。2009年，议会通过《透明制度》法案，强制要求内阁部长公开月度公务开支明细，</w:t>
      </w:r>
      <w:r w:rsidRPr="002C37EB">
        <w:rPr>
          <w:rFonts w:hAnsi="Times New Roman" w:cs="Times New Roman" w:hint="eastAsia"/>
          <w:szCs w:val="24"/>
          <w14:ligatures w14:val="none"/>
        </w:rPr>
        <w:lastRenderedPageBreak/>
        <w:t>包括招待费用、差旅支出及受赠礼品等信息，以此强化政府财政透明度。</w:t>
      </w:r>
      <w:r w:rsidRPr="002C37EB">
        <w:rPr>
          <w:rFonts w:hAnsi="Times New Roman" w:cs="Times New Roman"/>
          <w:szCs w:val="24"/>
          <w:vertAlign w:val="superscript"/>
          <w14:ligatures w14:val="none"/>
        </w:rPr>
        <w:footnoteReference w:id="17"/>
      </w:r>
    </w:p>
    <w:p w14:paraId="0C725903"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值得特别关注的是，丹麦《刑法典》对行贿行为的界定比中国更为严苛。企业基于商业目的为官员安排旅游、提供特殊服务或赠送礼物，均构成犯罪，即使遭到拒绝也不影响定罪。换言之，只要企业表达了行贿意图，无论动机如何、对方是否接受，都将被认定为犯罪。公职人员严禁挪用公款（不设金额起点）和收受任何礼品。在丹麦，企业若因商业需要向公职人员赠礼，往往适得其反，可能招致更严格的监管审查。</w:t>
      </w:r>
    </w:p>
    <w:p w14:paraId="19CD784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政府的反腐立场不仅适用于国内，对本国企业的海外商业活动同样严格要求。考虑到丹麦企业在腐败高发地区开展业务面临困难，外交部会向海外派驻专业顾问，维护企业合法权益，协助其在国际化进程中妥善应对腐败挑战。</w:t>
      </w:r>
    </w:p>
    <w:p w14:paraId="7A8BC10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《刑法典》第16</w:t>
      </w:r>
      <w:proofErr w:type="gramStart"/>
      <w:r w:rsidRPr="002C37EB">
        <w:rPr>
          <w:rFonts w:hAnsi="Times New Roman" w:cs="Times New Roman"/>
          <w:szCs w:val="24"/>
          <w14:ligatures w14:val="none"/>
        </w:rPr>
        <w:t>章针对</w:t>
      </w:r>
      <w:proofErr w:type="gramEnd"/>
      <w:r w:rsidRPr="002C37EB">
        <w:rPr>
          <w:rFonts w:hAnsi="Times New Roman" w:cs="Times New Roman"/>
          <w:szCs w:val="24"/>
          <w14:ligatures w14:val="none"/>
        </w:rPr>
        <w:t>公共领域犯罪设定了详细规定，主要内容摘录如下（详情请参阅法典原文）：</w:t>
      </w:r>
    </w:p>
    <w:p w14:paraId="5E796B88"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第144条：公职人员（涵盖丹麦、外国及国际组织人员）不正当地接受、索取或收受礼物及利益的，可处罚金或最高6年监禁。</w:t>
      </w:r>
    </w:p>
    <w:p w14:paraId="731F249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第145条：公职人员为谋取个人私利而收受他人财物并</w:t>
      </w:r>
      <w:r w:rsidRPr="002C37EB">
        <w:rPr>
          <w:rFonts w:hAnsi="Times New Roman" w:cs="Times New Roman"/>
          <w:szCs w:val="24"/>
          <w14:ligatures w14:val="none"/>
        </w:rPr>
        <w:lastRenderedPageBreak/>
        <w:t>提供不当便利的，可处罚金或最高6年监禁；事后醒悟退还所得的，仍可处罚金或最高2年监禁。</w:t>
      </w:r>
    </w:p>
    <w:p w14:paraId="0CCB62B7"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第146条：具有裁决权的公职人员在法律事务中偏袒一方、有失公允的，可处最高6年监禁；故意为他人减轻刑罚的，刑期可至16年。</w:t>
      </w:r>
    </w:p>
    <w:p w14:paraId="7196C03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第147条：拥有司法裁量权的公职人员通过非法途径逼取口供、违法实施逮捕、羁押、搜查或扣押的，可处罚金或最高3年监禁。</w:t>
      </w:r>
    </w:p>
    <w:p w14:paraId="3F5A32D0"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第148条：公职人员（</w:t>
      </w:r>
      <w:proofErr w:type="gramStart"/>
      <w:r w:rsidRPr="002C37EB">
        <w:rPr>
          <w:rFonts w:hAnsi="Times New Roman" w:cs="Times New Roman"/>
          <w:szCs w:val="24"/>
          <w14:ligatures w14:val="none"/>
        </w:rPr>
        <w:t>含司法</w:t>
      </w:r>
      <w:proofErr w:type="gramEnd"/>
      <w:r w:rsidRPr="002C37EB">
        <w:rPr>
          <w:rFonts w:hAnsi="Times New Roman" w:cs="Times New Roman"/>
          <w:szCs w:val="24"/>
          <w14:ligatures w14:val="none"/>
        </w:rPr>
        <w:t>人员）办理法律事务或执行国家裁决时，因故意或重大疏忽未按规定程序执行逮捕、羁押、调查、扣押等措施的，可处罚金或最高4个月监禁。</w:t>
      </w:r>
    </w:p>
    <w:p w14:paraId="025C2E3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第150条：公职人员滥用职权强迫他人作为或不作为的，可处最高3年刑罚。</w:t>
      </w:r>
    </w:p>
    <w:p w14:paraId="2565562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第152条：公共部门现任或前任人员不当披露或利用保密信息使相关方获益的，可处罚金或最高6个月监禁。该条款同样适用于履行政府合同的执行人员（如欧洲统计局职员）及其辅助人员。</w:t>
      </w:r>
    </w:p>
    <w:p w14:paraId="3BA7317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第155条：公职人员滥用职权侵害他人权益或公共利益的，可处罚金或最高4个月监禁；若意图获取其他不正当利益，刑期可升至2年。</w:t>
      </w:r>
    </w:p>
    <w:p w14:paraId="1822B460"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第156条：公职人员逃避或</w:t>
      </w:r>
      <w:proofErr w:type="gramStart"/>
      <w:r w:rsidRPr="002C37EB">
        <w:rPr>
          <w:rFonts w:hAnsi="Times New Roman" w:cs="Times New Roman"/>
          <w:szCs w:val="24"/>
          <w14:ligatures w14:val="none"/>
        </w:rPr>
        <w:t>怠</w:t>
      </w:r>
      <w:proofErr w:type="gramEnd"/>
      <w:r w:rsidRPr="002C37EB">
        <w:rPr>
          <w:rFonts w:hAnsi="Times New Roman" w:cs="Times New Roman"/>
          <w:szCs w:val="24"/>
          <w14:ligatures w14:val="none"/>
        </w:rPr>
        <w:t>于履行法定义务的，可处罚金或最高4个月监禁，但基于公众意愿的行为除外。</w:t>
      </w:r>
    </w:p>
    <w:p w14:paraId="066E752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lastRenderedPageBreak/>
        <w:t>第157条：公职人员执行公务时存在重大过失的，可处罚金或最高4个月监禁，但基于公众意愿的行为除外。</w:t>
      </w:r>
    </w:p>
    <w:p w14:paraId="5692494A" w14:textId="6709DAE8" w:rsidR="002C37EB" w:rsidRPr="002C37EB" w:rsidRDefault="002C37EB" w:rsidP="00AF20D2">
      <w:pPr>
        <w:pStyle w:val="3"/>
      </w:pPr>
      <w:bookmarkStart w:id="68" w:name="_Toc217652639"/>
      <w:bookmarkStart w:id="69" w:name="_Toc217863830"/>
      <w:bookmarkStart w:id="70" w:name="_Toc218449410"/>
      <w:r w:rsidRPr="002C37EB">
        <w:t>知识产权保护规定</w:t>
      </w:r>
      <w:bookmarkEnd w:id="68"/>
      <w:bookmarkEnd w:id="69"/>
      <w:bookmarkEnd w:id="70"/>
    </w:p>
    <w:p w14:paraId="4512851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丹麦的知识产权保护法律框架主要由《商标和形象外观设计法》《版权法》《专利法》以及相关国际条约和协议构成。</w:t>
      </w:r>
    </w:p>
    <w:p w14:paraId="7288515D" w14:textId="7D7CFA2E" w:rsidR="002C37EB" w:rsidRPr="002C37EB" w:rsidRDefault="002C37EB" w:rsidP="00731C23">
      <w:pPr>
        <w:pStyle w:val="4"/>
        <w:numPr>
          <w:ilvl w:val="0"/>
          <w:numId w:val="18"/>
        </w:numPr>
        <w:ind w:left="0" w:firstLine="643"/>
      </w:pPr>
      <w:bookmarkStart w:id="71" w:name="_Toc217863831"/>
      <w:bookmarkStart w:id="72" w:name="_Toc218449411"/>
      <w:r w:rsidRPr="002C37EB">
        <w:t>保护期限规定</w:t>
      </w:r>
      <w:bookmarkEnd w:id="71"/>
      <w:bookmarkEnd w:id="72"/>
    </w:p>
    <w:p w14:paraId="72A65BB6"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专利权保护期限为20年。商标权保护期限为10年。著作权保护期限分两种情况：个人作品的保护期为作者终身加死后70年；集体作品的保护期为作品完成之日起50年。外观设计保护期限为5年。</w:t>
      </w:r>
    </w:p>
    <w:p w14:paraId="731949ED" w14:textId="23CEB3B0" w:rsidR="002C37EB" w:rsidRPr="002C37EB" w:rsidRDefault="002C37EB" w:rsidP="00731C23">
      <w:pPr>
        <w:pStyle w:val="4"/>
        <w:ind w:firstLine="643"/>
      </w:pPr>
      <w:bookmarkStart w:id="73" w:name="_Toc217863832"/>
      <w:bookmarkStart w:id="74" w:name="_Toc218449412"/>
      <w:r w:rsidRPr="002C37EB">
        <w:t>知识产权侵权的处罚机制</w:t>
      </w:r>
      <w:bookmarkEnd w:id="73"/>
      <w:bookmarkEnd w:id="74"/>
    </w:p>
    <w:p w14:paraId="2C361032" w14:textId="77777777" w:rsidR="002C37EB" w:rsidRPr="002C37EB" w:rsidRDefault="002C37EB" w:rsidP="002C37EB">
      <w:pPr>
        <w:widowControl w:val="0"/>
        <w:numPr>
          <w:ilvl w:val="1"/>
          <w:numId w:val="8"/>
        </w:numPr>
        <w:ind w:left="0" w:firstLine="640"/>
        <w:rPr>
          <w:rFonts w:hAnsi="Times New Roman" w:cs="Times New Roman"/>
          <w:szCs w:val="24"/>
          <w14:ligatures w14:val="none"/>
        </w:rPr>
      </w:pPr>
      <w:r w:rsidRPr="002C37EB">
        <w:rPr>
          <w:rFonts w:hAnsi="Times New Roman" w:cs="Times New Roman"/>
          <w:szCs w:val="24"/>
          <w14:ligatures w14:val="none"/>
        </w:rPr>
        <w:t>海关保护措施：完成海关备案登记后，海关有权依法扣留侵犯知识产权的进出口货物。</w:t>
      </w:r>
      <w:r w:rsidRPr="002C37EB">
        <w:rPr>
          <w:rFonts w:hAnsi="Times New Roman" w:cs="Times New Roman"/>
          <w:szCs w:val="24"/>
          <w:vertAlign w:val="superscript"/>
          <w14:ligatures w14:val="none"/>
        </w:rPr>
        <w:footnoteReference w:id="18"/>
      </w:r>
    </w:p>
    <w:p w14:paraId="311814D3" w14:textId="77777777" w:rsidR="002C37EB" w:rsidRPr="002C37EB" w:rsidRDefault="002C37EB" w:rsidP="002C37EB">
      <w:pPr>
        <w:widowControl w:val="0"/>
        <w:numPr>
          <w:ilvl w:val="1"/>
          <w:numId w:val="8"/>
        </w:numPr>
        <w:ind w:left="0" w:firstLine="640"/>
        <w:rPr>
          <w:rFonts w:hAnsi="Times New Roman" w:cs="Times New Roman"/>
          <w:szCs w:val="24"/>
          <w14:ligatures w14:val="none"/>
        </w:rPr>
      </w:pPr>
      <w:r w:rsidRPr="002C37EB">
        <w:rPr>
          <w:rFonts w:hAnsi="Times New Roman" w:cs="Times New Roman"/>
          <w:szCs w:val="24"/>
          <w14:ligatures w14:val="none"/>
        </w:rPr>
        <w:t>行政执法保护：执法机关对侵犯知识产权的商品和行为进行依法查处。</w:t>
      </w:r>
    </w:p>
    <w:p w14:paraId="03E3A126" w14:textId="77777777" w:rsidR="002C37EB" w:rsidRPr="002C37EB" w:rsidRDefault="002C37EB" w:rsidP="002C37EB">
      <w:pPr>
        <w:widowControl w:val="0"/>
        <w:numPr>
          <w:ilvl w:val="1"/>
          <w:numId w:val="8"/>
        </w:numPr>
        <w:ind w:left="0" w:firstLine="640"/>
        <w:rPr>
          <w:rFonts w:hAnsi="Times New Roman" w:cs="Times New Roman"/>
          <w:szCs w:val="24"/>
          <w14:ligatures w14:val="none"/>
        </w:rPr>
      </w:pPr>
      <w:r w:rsidRPr="002C37EB">
        <w:rPr>
          <w:rFonts w:hAnsi="Times New Roman" w:cs="Times New Roman"/>
          <w:szCs w:val="24"/>
          <w14:ligatures w14:val="none"/>
        </w:rPr>
        <w:t>司法救济途径：权利受损的企业或个人可依法向法院起诉，请求制止侵权行为。</w:t>
      </w:r>
    </w:p>
    <w:p w14:paraId="4EA9CEA6" w14:textId="2D3DC0DE" w:rsidR="002C37EB" w:rsidRPr="002C37EB" w:rsidRDefault="002C37EB" w:rsidP="00731C23">
      <w:pPr>
        <w:pStyle w:val="2"/>
        <w:ind w:firstLine="643"/>
      </w:pPr>
      <w:bookmarkStart w:id="75" w:name="_Toc217863833"/>
      <w:bookmarkStart w:id="76" w:name="_Toc217652640"/>
      <w:bookmarkStart w:id="77" w:name="_Toc218449413"/>
      <w:r w:rsidRPr="002C37EB">
        <w:t>在丹麦开展投资工作</w:t>
      </w:r>
      <w:bookmarkEnd w:id="75"/>
      <w:bookmarkEnd w:id="76"/>
      <w:bookmarkEnd w:id="77"/>
    </w:p>
    <w:p w14:paraId="636997B6" w14:textId="5AEC4057" w:rsidR="002C37EB" w:rsidRPr="002C37EB" w:rsidRDefault="002C37EB" w:rsidP="00AF20D2">
      <w:pPr>
        <w:pStyle w:val="3"/>
        <w:numPr>
          <w:ilvl w:val="0"/>
          <w:numId w:val="20"/>
        </w:numPr>
      </w:pPr>
      <w:bookmarkStart w:id="78" w:name="_Toc217863834"/>
      <w:bookmarkStart w:id="79" w:name="_Toc217652641"/>
      <w:bookmarkStart w:id="80" w:name="_Toc218449414"/>
      <w:r w:rsidRPr="002C37EB">
        <w:t>企业的设立</w:t>
      </w:r>
      <w:bookmarkEnd w:id="78"/>
      <w:bookmarkEnd w:id="79"/>
      <w:bookmarkEnd w:id="80"/>
    </w:p>
    <w:p w14:paraId="64EE000D"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丹麦的商业组织形式主要涵盖：私人有限责任公司（Pr</w:t>
      </w:r>
      <w:r w:rsidRPr="002C37EB">
        <w:rPr>
          <w:rFonts w:hAnsi="Times New Roman" w:cs="Times New Roman"/>
          <w:szCs w:val="24"/>
          <w14:ligatures w14:val="none"/>
        </w:rPr>
        <w:lastRenderedPageBreak/>
        <w:t>ivate Limited Liability Companies）、公共有限责任公司（Public Limited Liability Companies）、合伙企业（Partnerships）、有限合伙企业（Limited Partnerships）、合作社（Cooperative Societies）、联合所有权船运公司（Joint-ownership Shipping Companies）、独立机构/基金/基金会（Independent Institutions/Foundations/Funds）及集团公司（Group）。</w:t>
      </w:r>
    </w:p>
    <w:p w14:paraId="1984D1E2" w14:textId="46DF7DEA" w:rsidR="002C37EB" w:rsidRPr="002C37EB" w:rsidRDefault="002C37EB" w:rsidP="00731C23">
      <w:pPr>
        <w:pStyle w:val="4"/>
        <w:numPr>
          <w:ilvl w:val="0"/>
          <w:numId w:val="21"/>
        </w:numPr>
        <w:ind w:left="0" w:firstLine="643"/>
      </w:pPr>
      <w:bookmarkStart w:id="81" w:name="_Toc217863835"/>
      <w:bookmarkStart w:id="82" w:name="_Toc218449415"/>
      <w:r w:rsidRPr="002C37EB">
        <w:t>企业注册受理机构</w:t>
      </w:r>
      <w:bookmarkEnd w:id="81"/>
      <w:bookmarkEnd w:id="82"/>
    </w:p>
    <w:p w14:paraId="177498CE"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丹麦工业、商业和金融事务部下设的丹麦商业局负责商业组织的注册登记工作，该机构还承担商业领域的立法职能。</w:t>
      </w:r>
    </w:p>
    <w:p w14:paraId="6F16D82C" w14:textId="7A6AFF59" w:rsidR="002C37EB" w:rsidRPr="002C37EB" w:rsidRDefault="002C37EB" w:rsidP="00731C23">
      <w:pPr>
        <w:pStyle w:val="4"/>
        <w:ind w:firstLine="643"/>
      </w:pPr>
      <w:bookmarkStart w:id="83" w:name="_Toc217863836"/>
      <w:bookmarkStart w:id="84" w:name="_Toc218449416"/>
      <w:r w:rsidRPr="002C37EB">
        <w:t>企业注册流程</w:t>
      </w:r>
      <w:bookmarkEnd w:id="83"/>
      <w:bookmarkEnd w:id="84"/>
    </w:p>
    <w:p w14:paraId="5A6FF8C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便捷、高效、优质地完成企业注册是丹麦商业局（Danish Business Authority）的核心工作目标。信息通信技术的广泛应用显著缩短了注册周期并保障了服务质量。在某些特定情况下，如设立公共或私人有限责任公司，注册几乎可以实时完成。</w:t>
      </w:r>
    </w:p>
    <w:p w14:paraId="14A8FB8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所有在丹麦设立的公司均需在丹麦商业局登记。包括新设公司在内的绝大部分注册事项可通过网络服务系统在线办理。申请网址：https://businessindenmark.virk.dk/。</w:t>
      </w:r>
    </w:p>
    <w:p w14:paraId="31C6848C"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企业文件不受语言限制，可提交英文版本。公司股东大会也可用英语召开。多数公司通过网络以数字签名方式完成注册，但也可提交纸质材料申请，纸质材料审核周期为6至</w:t>
      </w:r>
      <w:r w:rsidRPr="002C37EB">
        <w:rPr>
          <w:rFonts w:hAnsi="Times New Roman" w:cs="Times New Roman"/>
          <w:szCs w:val="24"/>
          <w14:ligatures w14:val="none"/>
        </w:rPr>
        <w:lastRenderedPageBreak/>
        <w:t>8周。</w:t>
      </w:r>
    </w:p>
    <w:p w14:paraId="27D7B72B" w14:textId="731B424A" w:rsidR="002C37EB" w:rsidRPr="002C37EB" w:rsidRDefault="002C37EB" w:rsidP="00AF20D2">
      <w:pPr>
        <w:pStyle w:val="3"/>
        <w:numPr>
          <w:ilvl w:val="0"/>
          <w:numId w:val="20"/>
        </w:numPr>
      </w:pPr>
      <w:bookmarkStart w:id="85" w:name="_Toc217652642"/>
      <w:bookmarkStart w:id="86" w:name="_Toc217863837"/>
      <w:bookmarkStart w:id="87" w:name="_Toc218449417"/>
      <w:r w:rsidRPr="002C37EB">
        <w:t>承揽工程项目的程序</w:t>
      </w:r>
      <w:bookmarkEnd w:id="85"/>
      <w:bookmarkEnd w:id="86"/>
      <w:bookmarkEnd w:id="87"/>
    </w:p>
    <w:p w14:paraId="199AAAF7" w14:textId="1A390B8F" w:rsidR="002C37EB" w:rsidRPr="002C37EB" w:rsidRDefault="002C37EB" w:rsidP="00731C23">
      <w:pPr>
        <w:pStyle w:val="4"/>
        <w:numPr>
          <w:ilvl w:val="0"/>
          <w:numId w:val="24"/>
        </w:numPr>
        <w:ind w:left="0" w:firstLine="643"/>
      </w:pPr>
      <w:bookmarkStart w:id="88" w:name="_Toc217863838"/>
      <w:bookmarkStart w:id="89" w:name="_Toc218449418"/>
      <w:r w:rsidRPr="002C37EB">
        <w:t>信息获取</w:t>
      </w:r>
      <w:bookmarkEnd w:id="88"/>
      <w:bookmarkEnd w:id="89"/>
    </w:p>
    <w:p w14:paraId="5D9D7E00"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 xml:space="preserve">丹麦建筑工程行业协会体系成熟，其代表机构为丹麦建筑协会（DI Dansk </w:t>
      </w:r>
      <w:proofErr w:type="spellStart"/>
      <w:r w:rsidRPr="002C37EB">
        <w:rPr>
          <w:rFonts w:hAnsi="Times New Roman" w:cs="Times New Roman"/>
          <w:szCs w:val="24"/>
          <w14:ligatures w14:val="none"/>
        </w:rPr>
        <w:t>Byggeri</w:t>
      </w:r>
      <w:proofErr w:type="spellEnd"/>
      <w:r w:rsidRPr="002C37EB">
        <w:rPr>
          <w:rFonts w:hAnsi="Times New Roman" w:cs="Times New Roman"/>
          <w:szCs w:val="24"/>
          <w14:ligatures w14:val="none"/>
        </w:rPr>
        <w:t>）。该协会是丹麦工业联合会（DI）下属的商业组织，拥有6700余家会员企业，涵盖建材生产商、工程承包商、中介服务机构等各类大中小型企业。该协会支持其承包商会员与外国公司开展分包合作（详情可查询：www.danskindustri.dk/brancher/di-byggeri/）。2015年3月，哥本哈根投资促进署开通投资门户网站（www.investcph.com），向国际地产开发商、投资者和建筑企业发布哥本哈根大区的公共建设、基础设施及城市发展项目信息。也可查询欧盟公共工程招标信息网（ted.europa.eu），该网站以24种欧盟官方语言免费发布达到欧盟规定规模的各成员国公共工程招标信息。</w:t>
      </w:r>
    </w:p>
    <w:p w14:paraId="7DF7AFA5" w14:textId="2A5B2A03" w:rsidR="002C37EB" w:rsidRPr="002C37EB" w:rsidRDefault="002C37EB" w:rsidP="00731C23">
      <w:pPr>
        <w:pStyle w:val="4"/>
        <w:ind w:firstLine="643"/>
      </w:pPr>
      <w:bookmarkStart w:id="90" w:name="_Toc217863839"/>
      <w:bookmarkStart w:id="91" w:name="_Toc218449419"/>
      <w:r w:rsidRPr="002C37EB">
        <w:t>招标投标</w:t>
      </w:r>
      <w:bookmarkEnd w:id="90"/>
      <w:bookmarkEnd w:id="91"/>
    </w:p>
    <w:p w14:paraId="221A517E"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中资企业在丹麦承包工程或参与项目招标主要有两种途径：（1）参与企业项目工程招标；（2）参与政府项目工程招标。</w:t>
      </w:r>
    </w:p>
    <w:p w14:paraId="66B50EAF" w14:textId="58F7638A" w:rsidR="002C37EB" w:rsidRPr="002C37EB" w:rsidRDefault="002C37EB" w:rsidP="00731C23">
      <w:pPr>
        <w:pStyle w:val="4"/>
        <w:ind w:firstLine="643"/>
      </w:pPr>
      <w:bookmarkStart w:id="92" w:name="_Toc217863840"/>
      <w:bookmarkStart w:id="93" w:name="_Toc218449420"/>
      <w:r w:rsidRPr="002C37EB">
        <w:t>政府采购</w:t>
      </w:r>
      <w:bookmarkEnd w:id="92"/>
      <w:bookmarkEnd w:id="93"/>
    </w:p>
    <w:p w14:paraId="4B014D74"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《丹麦公共采购法》（Danish Public Procurement Act）规范公共项目的招投标活动。非公共项目工程招标没有专</w:t>
      </w:r>
      <w:r w:rsidRPr="002C37EB">
        <w:rPr>
          <w:rFonts w:hAnsi="Times New Roman" w:cs="Times New Roman"/>
          <w:szCs w:val="24"/>
          <w14:ligatures w14:val="none"/>
        </w:rPr>
        <w:lastRenderedPageBreak/>
        <w:t>门立法，一般受合同法、产品责任法以及刑法中商业贿赂条款的约束。</w:t>
      </w:r>
    </w:p>
    <w:p w14:paraId="0C053AFA" w14:textId="17952D59" w:rsidR="002C37EB" w:rsidRPr="002C37EB" w:rsidRDefault="002C37EB" w:rsidP="00731C23">
      <w:pPr>
        <w:pStyle w:val="4"/>
        <w:ind w:firstLine="643"/>
      </w:pPr>
      <w:bookmarkStart w:id="94" w:name="_Toc217863841"/>
      <w:bookmarkStart w:id="95" w:name="_Toc218449421"/>
      <w:r w:rsidRPr="002C37EB">
        <w:t>许可手续</w:t>
      </w:r>
      <w:bookmarkEnd w:id="94"/>
      <w:bookmarkEnd w:id="95"/>
    </w:p>
    <w:p w14:paraId="3FB44882"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中资企业参与丹麦工程项目投标，通常需提供以下资质证明：a)完成类似任务的资质、经验和业绩；b)在相同地理区域的经验和业绩；c)履约关键人员及管理能力；d)曾为买方提供的供货或其他服务；e)财务状况；f)当前工作负荷；g)是否涉及法律诉讼。</w:t>
      </w:r>
    </w:p>
    <w:p w14:paraId="024E8C3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丹麦目前没有专门主管工程承揽的部门。</w:t>
      </w:r>
    </w:p>
    <w:p w14:paraId="1A656CBA" w14:textId="192A2C88" w:rsidR="002C37EB" w:rsidRPr="002C37EB" w:rsidRDefault="002C37EB" w:rsidP="00AF20D2">
      <w:pPr>
        <w:pStyle w:val="3"/>
        <w:numPr>
          <w:ilvl w:val="0"/>
          <w:numId w:val="20"/>
        </w:numPr>
      </w:pPr>
      <w:bookmarkStart w:id="96" w:name="_Toc217863842"/>
      <w:bookmarkStart w:id="97" w:name="_Toc217652643"/>
      <w:bookmarkStart w:id="98" w:name="_Toc218449422"/>
      <w:r w:rsidRPr="002C37EB">
        <w:t>专利和注册商标申请</w:t>
      </w:r>
      <w:bookmarkEnd w:id="96"/>
      <w:bookmarkEnd w:id="97"/>
      <w:bookmarkEnd w:id="98"/>
    </w:p>
    <w:p w14:paraId="4008DA23" w14:textId="1D27A279" w:rsidR="002C37EB" w:rsidRPr="002C37EB" w:rsidRDefault="002C37EB" w:rsidP="00731C23">
      <w:pPr>
        <w:pStyle w:val="4"/>
        <w:numPr>
          <w:ilvl w:val="0"/>
          <w:numId w:val="26"/>
        </w:numPr>
        <w:ind w:left="0" w:firstLine="643"/>
      </w:pPr>
      <w:bookmarkStart w:id="99" w:name="_Toc217863843"/>
      <w:bookmarkStart w:id="100" w:name="_Toc218449423"/>
      <w:r w:rsidRPr="002C37EB">
        <w:t>专利申请</w:t>
      </w:r>
      <w:bookmarkEnd w:id="99"/>
      <w:bookmarkEnd w:id="100"/>
    </w:p>
    <w:p w14:paraId="2EA554E5"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丹麦工业、商业和金融事务部下设的丹麦专利和商标局（Danish Patent and Trademark Office）负责受理专利或商标申请。专利申请须以书面形式向该局提交,保护期限最长为20年。申请提交后6至10个月内,申请人将收到初步答复。若该发明符合专利条件,申请人通常会在3年后获得专利授权,某些领域可能更快。专利申请相关费用可在丹麦专利和商标局网站查询（www.dkpto.dk）。</w:t>
      </w:r>
    </w:p>
    <w:p w14:paraId="17B6A96A" w14:textId="2E40C00C" w:rsidR="002C37EB" w:rsidRPr="002C37EB" w:rsidRDefault="002C37EB" w:rsidP="00731C23">
      <w:pPr>
        <w:pStyle w:val="4"/>
        <w:ind w:firstLine="643"/>
      </w:pPr>
      <w:bookmarkStart w:id="101" w:name="_Toc217863844"/>
      <w:bookmarkStart w:id="102" w:name="_Toc218449424"/>
      <w:r w:rsidRPr="002C37EB">
        <w:t>商标注册</w:t>
      </w:r>
      <w:bookmarkEnd w:id="101"/>
      <w:bookmarkEnd w:id="102"/>
    </w:p>
    <w:p w14:paraId="558E0147"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商标注册也需向丹麦专利和商标局申请,最便捷方式是在线申请并同步在线支付费用。也可下载申请文件填写后,通过电子邮件、传真或邮寄方式提交。如以英文提交申请,必</w:t>
      </w:r>
      <w:r w:rsidRPr="002C37EB">
        <w:rPr>
          <w:rFonts w:hAnsi="Times New Roman" w:cs="Times New Roman"/>
          <w:szCs w:val="24"/>
          <w14:ligatures w14:val="none"/>
        </w:rPr>
        <w:lastRenderedPageBreak/>
        <w:t>须附带用丹麦语列出的商品或服务清单。</w:t>
      </w:r>
    </w:p>
    <w:p w14:paraId="43D3DC5B" w14:textId="5AC9E5AE" w:rsidR="002C37EB" w:rsidRPr="002C37EB" w:rsidRDefault="002C37EB" w:rsidP="00AF20D2">
      <w:pPr>
        <w:pStyle w:val="3"/>
        <w:numPr>
          <w:ilvl w:val="0"/>
          <w:numId w:val="20"/>
        </w:numPr>
      </w:pPr>
      <w:bookmarkStart w:id="103" w:name="_Toc217863845"/>
      <w:bookmarkStart w:id="104" w:name="_Toc217652644"/>
      <w:bookmarkStart w:id="105" w:name="_Toc218449425"/>
      <w:r w:rsidRPr="002C37EB">
        <w:t>企业报税的相关手续</w:t>
      </w:r>
      <w:bookmarkEnd w:id="103"/>
      <w:bookmarkEnd w:id="104"/>
      <w:bookmarkEnd w:id="105"/>
    </w:p>
    <w:p w14:paraId="31B9678D" w14:textId="7A7ECC0E" w:rsidR="002C37EB" w:rsidRPr="002C37EB" w:rsidRDefault="002C37EB" w:rsidP="00731C23">
      <w:pPr>
        <w:pStyle w:val="4"/>
        <w:numPr>
          <w:ilvl w:val="0"/>
          <w:numId w:val="28"/>
        </w:numPr>
        <w:ind w:left="0" w:firstLine="643"/>
      </w:pPr>
      <w:bookmarkStart w:id="106" w:name="_Toc217863846"/>
      <w:bookmarkStart w:id="107" w:name="_Toc218449426"/>
      <w:r w:rsidRPr="002C37EB">
        <w:t>报税时间</w:t>
      </w:r>
      <w:bookmarkEnd w:id="106"/>
      <w:bookmarkEnd w:id="107"/>
    </w:p>
    <w:p w14:paraId="30C6538E"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丹麦企业报税时间在企业章程中明确规定。</w:t>
      </w:r>
    </w:p>
    <w:p w14:paraId="4380456E" w14:textId="58569F94" w:rsidR="002C37EB" w:rsidRPr="002C37EB" w:rsidRDefault="002C37EB" w:rsidP="00731C23">
      <w:pPr>
        <w:pStyle w:val="4"/>
        <w:ind w:firstLine="643"/>
      </w:pPr>
      <w:bookmarkStart w:id="108" w:name="_Toc217863847"/>
      <w:bookmarkStart w:id="109" w:name="_Toc218449427"/>
      <w:r w:rsidRPr="002C37EB">
        <w:t>报税途径</w:t>
      </w:r>
      <w:bookmarkEnd w:id="108"/>
      <w:bookmarkEnd w:id="109"/>
    </w:p>
    <w:p w14:paraId="2AF45472"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丹麦企业报税基本上均可在线办理。公司会计年度纳税申报一般由丹麦会计师操作。小型公司在交易额较少的情况下可自行报税,但需准备现金日记账、银行日记账、总账和明细账等。</w:t>
      </w:r>
    </w:p>
    <w:p w14:paraId="7A5857D3" w14:textId="68EE9EA6" w:rsidR="002C37EB" w:rsidRPr="002C37EB" w:rsidRDefault="002C37EB" w:rsidP="00731C23">
      <w:pPr>
        <w:pStyle w:val="4"/>
        <w:ind w:firstLine="643"/>
      </w:pPr>
      <w:bookmarkStart w:id="110" w:name="_Toc217863848"/>
      <w:bookmarkStart w:id="111" w:name="_Toc218449428"/>
      <w:r w:rsidRPr="002C37EB">
        <w:t>报税流程</w:t>
      </w:r>
      <w:bookmarkEnd w:id="110"/>
      <w:bookmarkEnd w:id="111"/>
    </w:p>
    <w:p w14:paraId="2A2E459F"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目前丹麦报税主要通过网络进行。企业向税务局发送信息后可获取网上申报密码。报税时登录丹麦税务部门网站,输入申报密码和电子签名,即可填写公司相关经营信息并完成纳税申报。</w:t>
      </w:r>
    </w:p>
    <w:p w14:paraId="4C31A3ED" w14:textId="5C934BF4" w:rsidR="002C37EB" w:rsidRPr="002C37EB" w:rsidRDefault="002C37EB" w:rsidP="00731C23">
      <w:pPr>
        <w:pStyle w:val="4"/>
        <w:ind w:firstLine="643"/>
      </w:pPr>
      <w:bookmarkStart w:id="112" w:name="_Toc217863849"/>
      <w:bookmarkStart w:id="113" w:name="_Toc218449429"/>
      <w:r w:rsidRPr="002C37EB">
        <w:t>报税资料</w:t>
      </w:r>
      <w:bookmarkEnd w:id="112"/>
      <w:bookmarkEnd w:id="113"/>
    </w:p>
    <w:p w14:paraId="276A99A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网上报税时,根据税务部门网站要求填写相关经营信息,无需准备原始报税资料。公司各类原始凭证须至少保存5年,以备税务部门核查。</w:t>
      </w:r>
      <w:r w:rsidRPr="002C37EB">
        <w:rPr>
          <w:rFonts w:hAnsi="Times New Roman" w:cs="Times New Roman"/>
          <w:szCs w:val="24"/>
          <w:vertAlign w:val="superscript"/>
          <w14:ligatures w14:val="none"/>
        </w:rPr>
        <w:footnoteReference w:id="19"/>
      </w:r>
    </w:p>
    <w:p w14:paraId="3F95A4B6" w14:textId="0F804DFE" w:rsidR="002C37EB" w:rsidRPr="002C37EB" w:rsidRDefault="002C37EB" w:rsidP="00AF20D2">
      <w:pPr>
        <w:pStyle w:val="3"/>
        <w:numPr>
          <w:ilvl w:val="0"/>
          <w:numId w:val="20"/>
        </w:numPr>
      </w:pPr>
      <w:bookmarkStart w:id="114" w:name="_Toc217863850"/>
      <w:bookmarkStart w:id="115" w:name="_Toc217652645"/>
      <w:bookmarkStart w:id="116" w:name="_Toc218449430"/>
      <w:r w:rsidRPr="002C37EB">
        <w:lastRenderedPageBreak/>
        <w:t>工作许可办理</w:t>
      </w:r>
      <w:bookmarkEnd w:id="114"/>
      <w:bookmarkEnd w:id="115"/>
      <w:bookmarkEnd w:id="116"/>
    </w:p>
    <w:p w14:paraId="6ADCBC6C" w14:textId="09225CD7" w:rsidR="002C37EB" w:rsidRPr="002C37EB" w:rsidRDefault="002C37EB" w:rsidP="00731C23">
      <w:pPr>
        <w:pStyle w:val="4"/>
        <w:numPr>
          <w:ilvl w:val="0"/>
          <w:numId w:val="30"/>
        </w:numPr>
        <w:ind w:left="0" w:firstLine="643"/>
      </w:pPr>
      <w:bookmarkStart w:id="117" w:name="_Toc217863851"/>
      <w:bookmarkStart w:id="118" w:name="_Toc218449431"/>
      <w:r w:rsidRPr="002C37EB">
        <w:t>主管机关</w:t>
      </w:r>
      <w:bookmarkEnd w:id="117"/>
      <w:bookmarkEnd w:id="118"/>
    </w:p>
    <w:p w14:paraId="31356110"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丹麦移民与</w:t>
      </w:r>
      <w:proofErr w:type="gramStart"/>
      <w:r w:rsidRPr="002C37EB">
        <w:rPr>
          <w:rFonts w:hAnsi="Times New Roman" w:cs="Times New Roman"/>
          <w:szCs w:val="24"/>
          <w14:ligatures w14:val="none"/>
        </w:rPr>
        <w:t>融合部</w:t>
      </w:r>
      <w:proofErr w:type="gramEnd"/>
      <w:r w:rsidRPr="002C37EB">
        <w:rPr>
          <w:rFonts w:hAnsi="Times New Roman" w:cs="Times New Roman"/>
          <w:szCs w:val="24"/>
          <w14:ligatures w14:val="none"/>
        </w:rPr>
        <w:t>下设的丹麦移民局（Danish Immigration Service）和丹麦国际招聘与融合局（The Danish Agency for International Recruitment and Integration, SIRI）负责外国公民在丹麦的居留和工作许可事务,以及入籍等移民事务的立法、国际合作等工作。</w:t>
      </w:r>
    </w:p>
    <w:p w14:paraId="67D976F4" w14:textId="76680625" w:rsidR="002C37EB" w:rsidRPr="002C37EB" w:rsidRDefault="002C37EB" w:rsidP="00AF20D2">
      <w:pPr>
        <w:pStyle w:val="4"/>
        <w:ind w:firstLine="643"/>
      </w:pPr>
      <w:bookmarkStart w:id="119" w:name="_Toc217863852"/>
      <w:bookmarkStart w:id="120" w:name="_Toc218449432"/>
      <w:r w:rsidRPr="002C37EB">
        <w:t>工作许可制度</w:t>
      </w:r>
      <w:bookmarkEnd w:id="119"/>
      <w:bookmarkEnd w:id="120"/>
    </w:p>
    <w:p w14:paraId="1CB56E2C"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外国公民在丹麦就业必须获得居留许可或工作许可。丹麦管理部门审理居留或工作许可申请</w:t>
      </w:r>
      <w:r w:rsidRPr="002C37EB">
        <w:rPr>
          <w:rFonts w:hAnsi="Times New Roman" w:cs="Times New Roman" w:hint="eastAsia"/>
          <w:szCs w:val="24"/>
          <w14:ligatures w14:val="none"/>
        </w:rPr>
        <w:t>时主要</w:t>
      </w:r>
      <w:proofErr w:type="gramStart"/>
      <w:r w:rsidRPr="002C37EB">
        <w:rPr>
          <w:rFonts w:hAnsi="Times New Roman" w:cs="Times New Roman" w:hint="eastAsia"/>
          <w:szCs w:val="24"/>
          <w14:ligatures w14:val="none"/>
        </w:rPr>
        <w:t>考量</w:t>
      </w:r>
      <w:proofErr w:type="gramEnd"/>
      <w:r w:rsidRPr="002C37EB">
        <w:rPr>
          <w:rFonts w:hAnsi="Times New Roman" w:cs="Times New Roman" w:hint="eastAsia"/>
          <w:szCs w:val="24"/>
          <w14:ligatures w14:val="none"/>
        </w:rPr>
        <w:t>以下方面：a）丹麦或其他欧盟国家居民是否有能力完成该项工作；b）根据工作性质判断是否有必要签发居留或工作许可。通常情况下，外国人无法针对相对简单的岗位申请工作许可，包括木工、泥瓦工及其他非技术性岗位，如邮递员、清洁工等。</w:t>
      </w:r>
    </w:p>
    <w:p w14:paraId="7750474D"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某些情况下,从业者需获得政府授权。例如,外国医生必须获得丹麦患者安全局的授权方可执业。</w:t>
      </w:r>
    </w:p>
    <w:p w14:paraId="5DCC5373" w14:textId="41292193" w:rsidR="002C37EB" w:rsidRPr="002C37EB" w:rsidRDefault="002C37EB" w:rsidP="00AF20D2">
      <w:pPr>
        <w:pStyle w:val="4"/>
        <w:ind w:firstLine="643"/>
      </w:pPr>
      <w:bookmarkStart w:id="121" w:name="_Toc217863853"/>
      <w:bookmarkStart w:id="122" w:name="_Toc218449433"/>
      <w:r w:rsidRPr="002C37EB">
        <w:t>申请程序</w:t>
      </w:r>
      <w:bookmarkEnd w:id="121"/>
      <w:bookmarkEnd w:id="122"/>
    </w:p>
    <w:p w14:paraId="02AA5400"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申请居留或工作许可的程序因申请人身份而异。申请人可在准备好所需文件后向丹麦驻中国大使馆提出申请,也可直接向丹麦相关主管部门申请。</w:t>
      </w:r>
    </w:p>
    <w:p w14:paraId="5B6522B8" w14:textId="3CF5EF11" w:rsidR="002C37EB" w:rsidRPr="002C37EB" w:rsidRDefault="002C37EB" w:rsidP="00AF20D2">
      <w:pPr>
        <w:pStyle w:val="4"/>
        <w:ind w:firstLine="643"/>
      </w:pPr>
      <w:bookmarkStart w:id="123" w:name="_Toc217863854"/>
      <w:bookmarkStart w:id="124" w:name="_Toc218449434"/>
      <w:r w:rsidRPr="002C37EB">
        <w:t>提交材料</w:t>
      </w:r>
      <w:bookmarkEnd w:id="123"/>
      <w:bookmarkEnd w:id="124"/>
    </w:p>
    <w:p w14:paraId="51F1D8D1"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申请工作许可所需材料因申请人身份而异。以普通雇员</w:t>
      </w:r>
      <w:r w:rsidRPr="002C37EB">
        <w:rPr>
          <w:rFonts w:hAnsi="Times New Roman" w:cs="Times New Roman"/>
          <w:szCs w:val="24"/>
          <w14:ligatures w14:val="none"/>
        </w:rPr>
        <w:lastRenderedPageBreak/>
        <w:t>为例,除按要求填写信息表外,还需提供:护照复印件、两张护照照片、劳动合同、学历证明材料、授权文件（仅限需要丹麦授权的行业）及其他文件等。详细信息参见上述网站。</w:t>
      </w:r>
    </w:p>
    <w:p w14:paraId="4617B0F4" w14:textId="1AE08870" w:rsidR="002C37EB" w:rsidRPr="002C37EB" w:rsidRDefault="002C37EB" w:rsidP="00AF20D2">
      <w:pPr>
        <w:pStyle w:val="3"/>
        <w:numPr>
          <w:ilvl w:val="0"/>
          <w:numId w:val="20"/>
        </w:numPr>
      </w:pPr>
      <w:bookmarkStart w:id="125" w:name="_Toc218449435"/>
      <w:r w:rsidRPr="002C37EB">
        <w:t>在丹麦开展要约收购</w:t>
      </w:r>
      <w:bookmarkEnd w:id="125"/>
    </w:p>
    <w:p w14:paraId="15EC511E"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在丹麦，针对上市公司的要约收购受到一套高度制度化、以信息披露和程序正当性为核心的监管框架所规制，其流程整体上呈现出</w:t>
      </w:r>
      <w:r w:rsidRPr="002C37EB">
        <w:rPr>
          <w:rFonts w:hAnsi="Times New Roman" w:cs="Times New Roman"/>
          <w:szCs w:val="24"/>
          <w14:ligatures w14:val="none"/>
        </w:rPr>
        <w:t>“</w:t>
      </w:r>
      <w:r w:rsidRPr="002C37EB">
        <w:rPr>
          <w:rFonts w:hAnsi="Times New Roman" w:cs="Times New Roman"/>
          <w:szCs w:val="24"/>
          <w14:ligatures w14:val="none"/>
        </w:rPr>
        <w:t>监管先行、披露驱动、员工与股东并重</w:t>
      </w:r>
      <w:r w:rsidRPr="002C37EB">
        <w:rPr>
          <w:rFonts w:hAnsi="Times New Roman" w:cs="Times New Roman"/>
          <w:szCs w:val="24"/>
          <w14:ligatures w14:val="none"/>
        </w:rPr>
        <w:t>”</w:t>
      </w:r>
      <w:r w:rsidRPr="002C37EB">
        <w:rPr>
          <w:rFonts w:hAnsi="Times New Roman" w:cs="Times New Roman"/>
          <w:szCs w:val="24"/>
          <w14:ligatures w14:val="none"/>
        </w:rPr>
        <w:t>的鲜明特征。</w:t>
      </w:r>
    </w:p>
    <w:p w14:paraId="25F0A286"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从实践操作看，要约收购通常始于要约方内部决策完成并形成明确的收购意向，此后要约方需及时向目标公司披露</w:t>
      </w:r>
      <w:proofErr w:type="gramStart"/>
      <w:r w:rsidRPr="002C37EB">
        <w:rPr>
          <w:rFonts w:hAnsi="Times New Roman" w:cs="Times New Roman"/>
          <w:szCs w:val="24"/>
          <w14:ligatures w14:val="none"/>
        </w:rPr>
        <w:t>作出</w:t>
      </w:r>
      <w:proofErr w:type="gramEnd"/>
      <w:r w:rsidRPr="002C37EB">
        <w:rPr>
          <w:rFonts w:hAnsi="Times New Roman" w:cs="Times New Roman"/>
          <w:szCs w:val="24"/>
          <w14:ligatures w14:val="none"/>
        </w:rPr>
        <w:t>要约收购决定的事实，并同步着手起草要约收购文件及相关配套材料，该等文件构成后续监管审查与市场判断的基础。在文件准备完成后，要约方须将要约收购文件及要约公告提交丹麦金融监管局（DFSA）进行事前审查，只有在获得DFSA批准后，方可进入公开披露与正式启动要约期的阶段。获批后，要约方需通过DFSA指定的官方信息披露系统（OAM）以及纳斯达克哥本哈根交易所的公告平台，向市场完整披露要约收购文件及要约公告，自此要约收购</w:t>
      </w:r>
      <w:proofErr w:type="gramStart"/>
      <w:r w:rsidRPr="002C37EB">
        <w:rPr>
          <w:rFonts w:hAnsi="Times New Roman" w:cs="Times New Roman"/>
          <w:szCs w:val="24"/>
          <w14:ligatures w14:val="none"/>
        </w:rPr>
        <w:t>期正式</w:t>
      </w:r>
      <w:proofErr w:type="gramEnd"/>
      <w:r w:rsidRPr="002C37EB">
        <w:rPr>
          <w:rFonts w:hAnsi="Times New Roman" w:cs="Times New Roman"/>
          <w:szCs w:val="24"/>
          <w14:ligatures w14:val="none"/>
        </w:rPr>
        <w:t>开始。</w:t>
      </w:r>
    </w:p>
    <w:p w14:paraId="1B97B21E"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在要约启动的同时，丹麦法特别强调对员工知情权的保护，目标公司负有向员工正式通报要约收购决定并解释要约内容的义务，这一环节在时间轴上与对股东的通知并行推进。</w:t>
      </w:r>
    </w:p>
    <w:p w14:paraId="2598EEA9"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随后，目标公司董事会需在法定期限内就要约收购形成</w:t>
      </w:r>
      <w:r w:rsidRPr="002C37EB">
        <w:rPr>
          <w:rFonts w:hAnsi="Times New Roman" w:cs="Times New Roman"/>
          <w:szCs w:val="24"/>
          <w14:ligatures w14:val="none"/>
        </w:rPr>
        <w:lastRenderedPageBreak/>
        <w:t>并出具一份独立的董事会意见函，对要约价格、公平性及对公司和员工的影响进行评述，该意见</w:t>
      </w:r>
      <w:proofErr w:type="gramStart"/>
      <w:r w:rsidRPr="002C37EB">
        <w:rPr>
          <w:rFonts w:hAnsi="Times New Roman" w:cs="Times New Roman"/>
          <w:szCs w:val="24"/>
          <w14:ligatures w14:val="none"/>
        </w:rPr>
        <w:t>函不仅需</w:t>
      </w:r>
      <w:proofErr w:type="gramEnd"/>
      <w:r w:rsidRPr="002C37EB">
        <w:rPr>
          <w:rFonts w:hAnsi="Times New Roman" w:cs="Times New Roman"/>
          <w:szCs w:val="24"/>
          <w14:ligatures w14:val="none"/>
        </w:rPr>
        <w:t>送达已登记股东，还必须通过OAM系统及交易所平台向市场披露，以确保投资者在要约期内获得对等、充分的信息。</w:t>
      </w:r>
    </w:p>
    <w:p w14:paraId="770880FD"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在要约期间，要约方原则上可以在符合法律条件的前提下对要约条款进行修订，同时也不排除第三方提出竞争性要约的可能性，这使得丹麦要约收购在制度设计上为市场竞争预留了空间。要约期结束后，要约方需及时披露要约结果，并进入交割与结算阶段；若要约方通过要约收购取得目标公司已发行股份的90%以上，则可依法启动强制收购程序，对剩余少数股东实施挤出（squeeze-out），并进一步申请目标公司股份在纳斯达克哥本哈根交易所注销，实现退市安排。</w:t>
      </w:r>
    </w:p>
    <w:p w14:paraId="1C496193"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整体而言，丹麦要约收购流程以DFSA的前置监管为轴心，以持续、分阶段的信息披露为主线，辅以对员工、董事会及少数股东利益的制度性关照，其程序节奏清晰但合</w:t>
      </w:r>
      <w:proofErr w:type="gramStart"/>
      <w:r w:rsidRPr="002C37EB">
        <w:rPr>
          <w:rFonts w:hAnsi="Times New Roman" w:cs="Times New Roman"/>
          <w:szCs w:val="24"/>
          <w14:ligatures w14:val="none"/>
        </w:rPr>
        <w:t>规</w:t>
      </w:r>
      <w:proofErr w:type="gramEnd"/>
      <w:r w:rsidRPr="002C37EB">
        <w:rPr>
          <w:rFonts w:hAnsi="Times New Roman" w:cs="Times New Roman"/>
          <w:szCs w:val="24"/>
          <w14:ligatures w14:val="none"/>
        </w:rPr>
        <w:t>要求严格，对于跨境收购方而言，充分理解并提前规划各阶段的文件准备、监管沟通与时间管理，往往是交易顺利推进的关键所在。</w:t>
      </w:r>
    </w:p>
    <w:p w14:paraId="4630FB06" w14:textId="2F851DF9" w:rsidR="002C37EB" w:rsidRPr="002C37EB" w:rsidRDefault="002C37EB" w:rsidP="00AF20D2">
      <w:pPr>
        <w:pStyle w:val="2"/>
        <w:ind w:firstLine="643"/>
      </w:pPr>
      <w:bookmarkStart w:id="126" w:name="_Toc217652646"/>
      <w:bookmarkStart w:id="127" w:name="_Toc217863855"/>
      <w:bookmarkStart w:id="128" w:name="_Toc218449436"/>
      <w:r w:rsidRPr="002C37EB">
        <w:t>在丹麦争议解决的途径</w:t>
      </w:r>
      <w:bookmarkEnd w:id="126"/>
      <w:bookmarkEnd w:id="127"/>
      <w:bookmarkEnd w:id="128"/>
    </w:p>
    <w:p w14:paraId="601AFEFA" w14:textId="3C637D35" w:rsidR="002C37EB" w:rsidRPr="002C37EB" w:rsidRDefault="002C37EB" w:rsidP="00AF20D2">
      <w:pPr>
        <w:pStyle w:val="3"/>
        <w:numPr>
          <w:ilvl w:val="0"/>
          <w:numId w:val="32"/>
        </w:numPr>
      </w:pPr>
      <w:bookmarkStart w:id="129" w:name="_Toc217863856"/>
      <w:bookmarkStart w:id="130" w:name="_Toc217652647"/>
      <w:bookmarkStart w:id="131" w:name="_Toc218449437"/>
      <w:r w:rsidRPr="002C37EB">
        <w:t>司法制度</w:t>
      </w:r>
      <w:bookmarkEnd w:id="129"/>
      <w:bookmarkEnd w:id="130"/>
      <w:bookmarkEnd w:id="131"/>
    </w:p>
    <w:p w14:paraId="06B4A8F2"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丹麦的司法体系以其独立性和完善性著称，采用清晰的三级法院结构。这一体系包括设在哥本哈根的最高法院（</w:t>
      </w:r>
      <w:proofErr w:type="spellStart"/>
      <w:r w:rsidRPr="002C37EB">
        <w:rPr>
          <w:rFonts w:hAnsi="Times New Roman" w:cs="Times New Roman"/>
          <w:szCs w:val="24"/>
          <w14:ligatures w14:val="none"/>
        </w:rPr>
        <w:t>H</w:t>
      </w:r>
      <w:r w:rsidRPr="002C37EB">
        <w:rPr>
          <w:rFonts w:hAnsi="Times New Roman" w:cs="Times New Roman"/>
          <w:szCs w:val="24"/>
          <w14:ligatures w14:val="none"/>
        </w:rPr>
        <w:t>ø</w:t>
      </w:r>
      <w:r w:rsidRPr="002C37EB">
        <w:rPr>
          <w:rFonts w:hAnsi="Times New Roman" w:cs="Times New Roman"/>
          <w:szCs w:val="24"/>
          <w14:ligatures w14:val="none"/>
        </w:rPr>
        <w:lastRenderedPageBreak/>
        <w:t>jesteret</w:t>
      </w:r>
      <w:proofErr w:type="spellEnd"/>
      <w:r w:rsidRPr="002C37EB">
        <w:rPr>
          <w:rFonts w:hAnsi="Times New Roman" w:cs="Times New Roman"/>
          <w:szCs w:val="24"/>
          <w14:ligatures w14:val="none"/>
        </w:rPr>
        <w:t>），作为全国的终审法院；两所高等法院（</w:t>
      </w:r>
      <w:proofErr w:type="spellStart"/>
      <w:r w:rsidRPr="002C37EB">
        <w:rPr>
          <w:rFonts w:hAnsi="Times New Roman" w:cs="Times New Roman"/>
          <w:szCs w:val="24"/>
          <w14:ligatures w14:val="none"/>
        </w:rPr>
        <w:t>Landsretter</w:t>
      </w:r>
      <w:proofErr w:type="spellEnd"/>
      <w:r w:rsidRPr="002C37EB">
        <w:rPr>
          <w:rFonts w:hAnsi="Times New Roman" w:cs="Times New Roman"/>
          <w:szCs w:val="24"/>
          <w14:ligatures w14:val="none"/>
        </w:rPr>
        <w:t>），即东部高等法院和西部高等法院，主要负责上诉审理；以及遍布全国的二十四所地方法院（</w:t>
      </w:r>
      <w:proofErr w:type="spellStart"/>
      <w:r w:rsidRPr="002C37EB">
        <w:rPr>
          <w:rFonts w:hAnsi="Times New Roman" w:cs="Times New Roman"/>
          <w:szCs w:val="24"/>
          <w14:ligatures w14:val="none"/>
        </w:rPr>
        <w:t>Byretter</w:t>
      </w:r>
      <w:proofErr w:type="spellEnd"/>
      <w:r w:rsidRPr="002C37EB">
        <w:rPr>
          <w:rFonts w:hAnsi="Times New Roman" w:cs="Times New Roman"/>
          <w:szCs w:val="24"/>
          <w14:ligatures w14:val="none"/>
        </w:rPr>
        <w:t>），负责处理绝大多数一审民事和商事案件。这一地方法院的数量已根据二零零七年的法院改革进行了调整和精简。此外，丹麦还设有处理特定复杂商业争议的海事和商业法庭（</w:t>
      </w:r>
      <w:proofErr w:type="spellStart"/>
      <w:r w:rsidRPr="002C37EB">
        <w:rPr>
          <w:rFonts w:hAnsi="Times New Roman" w:cs="Times New Roman"/>
          <w:szCs w:val="24"/>
          <w14:ligatures w14:val="none"/>
        </w:rPr>
        <w:t>S</w:t>
      </w:r>
      <w:r w:rsidRPr="002C37EB">
        <w:rPr>
          <w:rFonts w:hAnsi="Times New Roman" w:cs="Times New Roman"/>
          <w:szCs w:val="24"/>
          <w14:ligatures w14:val="none"/>
        </w:rPr>
        <w:t>ø</w:t>
      </w:r>
      <w:proofErr w:type="spellEnd"/>
      <w:r w:rsidRPr="002C37EB">
        <w:rPr>
          <w:rFonts w:hAnsi="Times New Roman" w:cs="Times New Roman"/>
          <w:szCs w:val="24"/>
          <w14:ligatures w14:val="none"/>
        </w:rPr>
        <w:t xml:space="preserve">- </w:t>
      </w:r>
      <w:proofErr w:type="spellStart"/>
      <w:r w:rsidRPr="002C37EB">
        <w:rPr>
          <w:rFonts w:hAnsi="Times New Roman" w:cs="Times New Roman"/>
          <w:szCs w:val="24"/>
          <w14:ligatures w14:val="none"/>
        </w:rPr>
        <w:t>og</w:t>
      </w:r>
      <w:proofErr w:type="spellEnd"/>
      <w:r w:rsidRPr="002C37EB">
        <w:rPr>
          <w:rFonts w:hAnsi="Times New Roman" w:cs="Times New Roman"/>
          <w:szCs w:val="24"/>
          <w14:ligatures w14:val="none"/>
        </w:rPr>
        <w:t xml:space="preserve"> </w:t>
      </w:r>
      <w:proofErr w:type="spellStart"/>
      <w:r w:rsidRPr="002C37EB">
        <w:rPr>
          <w:rFonts w:hAnsi="Times New Roman" w:cs="Times New Roman"/>
          <w:szCs w:val="24"/>
          <w14:ligatures w14:val="none"/>
        </w:rPr>
        <w:t>Handelsretten</w:t>
      </w:r>
      <w:proofErr w:type="spellEnd"/>
      <w:r w:rsidRPr="002C37EB">
        <w:rPr>
          <w:rFonts w:hAnsi="Times New Roman" w:cs="Times New Roman"/>
          <w:szCs w:val="24"/>
          <w14:ligatures w14:val="none"/>
        </w:rPr>
        <w:t>），以及处理司法行政和上诉事宜的特别法庭，同时，王国自治领地格陵兰和法罗群岛也设有各自的法院系统。最高法院由一名院长和十八名法官组成，共计十九人。这些院长和法官人选由司法任命委员会提议，经政府（司法大臣）推荐，并由国家元首（君主）正式任命，任职至退休。丹麦宪法严格保障法院的独立行使职权，确保审判公正客观。现任最高法院院长为延斯</w:t>
      </w:r>
      <w:r w:rsidRPr="002C37EB">
        <w:rPr>
          <w:rFonts w:hAnsi="Times New Roman" w:cs="Times New Roman"/>
          <w:szCs w:val="24"/>
          <w14:ligatures w14:val="none"/>
        </w:rPr>
        <w:t>·</w:t>
      </w:r>
      <w:r w:rsidRPr="002C37EB">
        <w:rPr>
          <w:rFonts w:hAnsi="Times New Roman" w:cs="Times New Roman"/>
          <w:szCs w:val="24"/>
          <w14:ligatures w14:val="none"/>
        </w:rPr>
        <w:t>彼得</w:t>
      </w:r>
      <w:r w:rsidRPr="002C37EB">
        <w:rPr>
          <w:rFonts w:hAnsi="Times New Roman" w:cs="Times New Roman"/>
          <w:szCs w:val="24"/>
          <w14:ligatures w14:val="none"/>
        </w:rPr>
        <w:t>·</w:t>
      </w:r>
      <w:r w:rsidRPr="002C37EB">
        <w:rPr>
          <w:rFonts w:hAnsi="Times New Roman" w:cs="Times New Roman"/>
          <w:szCs w:val="24"/>
          <w14:ligatures w14:val="none"/>
        </w:rPr>
        <w:t>克里斯滕森（Jens Peter Christensen）。与此独立，丹麦的检察机构隶属于司法部，由总检察长延</w:t>
      </w:r>
      <w:r w:rsidRPr="002C37EB">
        <w:rPr>
          <w:rFonts w:hAnsi="Times New Roman" w:cs="Times New Roman"/>
          <w:szCs w:val="24"/>
          <w14:ligatures w14:val="none"/>
        </w:rPr>
        <w:t>·</w:t>
      </w:r>
      <w:r w:rsidRPr="002C37EB">
        <w:rPr>
          <w:rFonts w:hAnsi="Times New Roman" w:cs="Times New Roman"/>
          <w:szCs w:val="24"/>
          <w14:ligatures w14:val="none"/>
        </w:rPr>
        <w:t>莱肯多尔夫（Jan Reckendorff）领导，负责全国的刑事检控工作。此外，议会监察专员尼尔斯</w:t>
      </w:r>
      <w:r w:rsidRPr="002C37EB">
        <w:rPr>
          <w:rFonts w:hAnsi="Times New Roman" w:cs="Times New Roman"/>
          <w:szCs w:val="24"/>
          <w14:ligatures w14:val="none"/>
        </w:rPr>
        <w:t>·</w:t>
      </w:r>
      <w:r w:rsidRPr="002C37EB">
        <w:rPr>
          <w:rFonts w:hAnsi="Times New Roman" w:cs="Times New Roman"/>
          <w:szCs w:val="24"/>
          <w14:ligatures w14:val="none"/>
        </w:rPr>
        <w:t>冯格（Niels Fenger）负责监督公共行政部门的行为，作为保障公民权利的重要机制。</w:t>
      </w:r>
    </w:p>
    <w:p w14:paraId="5BC20382" w14:textId="5D708D76" w:rsidR="002C37EB" w:rsidRPr="002C37EB" w:rsidRDefault="002C37EB" w:rsidP="00AF20D2">
      <w:pPr>
        <w:pStyle w:val="3"/>
      </w:pPr>
      <w:bookmarkStart w:id="132" w:name="_Toc217652648"/>
      <w:bookmarkStart w:id="133" w:name="_Toc217863857"/>
      <w:bookmarkStart w:id="134" w:name="_Toc218449438"/>
      <w:r w:rsidRPr="002C37EB">
        <w:t>解决商务纠纷的主要途径</w:t>
      </w:r>
      <w:bookmarkEnd w:id="132"/>
      <w:bookmarkEnd w:id="133"/>
      <w:bookmarkEnd w:id="134"/>
    </w:p>
    <w:p w14:paraId="3D0D89E3" w14:textId="77777777" w:rsidR="002C37EB" w:rsidRPr="002C37EB" w:rsidRDefault="002C37EB" w:rsidP="002C37EB">
      <w:pPr>
        <w:widowControl w:val="0"/>
        <w:ind w:firstLine="640"/>
        <w:rPr>
          <w:rFonts w:hAnsi="Times New Roman" w:cs="Times New Roman"/>
          <w:szCs w:val="24"/>
          <w14:ligatures w14:val="none"/>
        </w:rPr>
      </w:pPr>
      <w:r w:rsidRPr="002C37EB">
        <w:rPr>
          <w:rFonts w:hAnsi="Times New Roman" w:cs="Times New Roman"/>
          <w:szCs w:val="24"/>
          <w14:ligatures w14:val="none"/>
        </w:rPr>
        <w:t>若在当地开展投资合作时产生争议,可根据纠纷金额选择不同的解决途径:重大争议可通过司法诉讼或仲裁程序处理;涉及金额较小的争议</w:t>
      </w:r>
      <w:r w:rsidRPr="002C37EB">
        <w:rPr>
          <w:rFonts w:hAnsi="Times New Roman" w:cs="Times New Roman" w:hint="eastAsia"/>
          <w:szCs w:val="24"/>
          <w14:ligatures w14:val="none"/>
        </w:rPr>
        <w:t>（低于5万丹麦克朗）</w:t>
      </w:r>
      <w:r w:rsidRPr="002C37EB">
        <w:rPr>
          <w:rFonts w:hAnsi="Times New Roman" w:cs="Times New Roman"/>
          <w:szCs w:val="24"/>
          <w14:ligatures w14:val="none"/>
        </w:rPr>
        <w:t>则可采用调解</w:t>
      </w:r>
      <w:r w:rsidRPr="002C37EB">
        <w:rPr>
          <w:rFonts w:hAnsi="Times New Roman" w:cs="Times New Roman"/>
          <w:szCs w:val="24"/>
          <w14:ligatures w14:val="none"/>
        </w:rPr>
        <w:lastRenderedPageBreak/>
        <w:t>方式,促使双方协商达成一致。</w:t>
      </w:r>
      <w:r w:rsidRPr="002C37EB">
        <w:rPr>
          <w:rFonts w:hAnsi="Times New Roman" w:cs="Times New Roman"/>
          <w:szCs w:val="24"/>
          <w:vertAlign w:val="superscript"/>
          <w14:ligatures w14:val="none"/>
        </w:rPr>
        <w:footnoteReference w:id="20"/>
      </w:r>
      <w:r w:rsidRPr="002C37EB">
        <w:rPr>
          <w:rFonts w:hAnsi="Times New Roman" w:cs="Times New Roman"/>
          <w:szCs w:val="24"/>
          <w14:ligatures w14:val="none"/>
        </w:rPr>
        <w:t>所有《纽约公约》缔约国的相关法律均可作为适用依据。</w:t>
      </w:r>
    </w:p>
    <w:p w14:paraId="4B6FA660" w14:textId="33C479ED" w:rsidR="002C37EB" w:rsidRPr="002C37EB" w:rsidRDefault="002C37EB" w:rsidP="00AF20D2">
      <w:pPr>
        <w:pStyle w:val="3"/>
      </w:pPr>
      <w:bookmarkStart w:id="135" w:name="_Toc217863858"/>
      <w:bookmarkStart w:id="136" w:name="_Toc218449439"/>
      <w:r w:rsidRPr="002C37EB">
        <w:t>国际仲裁机制</w:t>
      </w:r>
      <w:bookmarkEnd w:id="135"/>
      <w:bookmarkEnd w:id="136"/>
    </w:p>
    <w:p w14:paraId="028550A3" w14:textId="13864C0C" w:rsidR="002C37EB" w:rsidRDefault="002C37EB" w:rsidP="00AF20D2">
      <w:pPr>
        <w:widowControl w:val="0"/>
        <w:ind w:firstLine="640"/>
        <w:rPr>
          <w:rFonts w:hAnsi="Times New Roman" w:cs="Times New Roman"/>
          <w:szCs w:val="24"/>
          <w14:ligatures w14:val="none"/>
        </w:rPr>
      </w:pPr>
      <w:r w:rsidRPr="002C37EB">
        <w:rPr>
          <w:rFonts w:hAnsi="Times New Roman" w:cs="Times New Roman" w:hint="eastAsia"/>
          <w:szCs w:val="24"/>
          <w14:ligatures w14:val="none"/>
        </w:rPr>
        <w:t>丹麦于1968年成为《纽约公约》成员国。因此，外国投资者在与丹麦政府发生纠纷时，有权申请国际仲裁或选择第三方仲裁地进行裁决。实际案例：中国某自行车制造企业与丹麦经销商因财务问题产生分歧，经多次协商未能解决，最终双方商定将争议提交至斯德哥尔摩商会仲裁院进行仲裁裁决。</w:t>
      </w:r>
    </w:p>
    <w:p w14:paraId="6EDF2308" w14:textId="77777777" w:rsidR="00836958" w:rsidRPr="00FA087B" w:rsidRDefault="00836958" w:rsidP="00EE5DBD">
      <w:pPr>
        <w:ind w:firstLine="640"/>
        <w:rPr>
          <w:rFonts w:hint="eastAsia"/>
        </w:rPr>
      </w:pPr>
      <w:r w:rsidRPr="00FA087B">
        <w:rPr>
          <w:rFonts w:hint="eastAsia"/>
        </w:rPr>
        <w:t>作者：董亮</w:t>
      </w:r>
    </w:p>
    <w:p w14:paraId="4548CD5F" w14:textId="608998C8" w:rsidR="00AF20D2" w:rsidRPr="002C37EB" w:rsidRDefault="00836958" w:rsidP="006912C2">
      <w:pPr>
        <w:ind w:firstLine="640"/>
        <w:rPr>
          <w:rFonts w:hAnsi="Times New Roman" w:cs="Times New Roman"/>
          <w:szCs w:val="24"/>
          <w14:ligatures w14:val="none"/>
        </w:rPr>
      </w:pPr>
      <w:r w:rsidRPr="00FA087B">
        <w:rPr>
          <w:rFonts w:hint="eastAsia"/>
        </w:rPr>
        <w:t>免责声明：本文系作者个人观点，不代表</w:t>
      </w:r>
      <w:proofErr w:type="gramStart"/>
      <w:r w:rsidRPr="00FA087B">
        <w:rPr>
          <w:rFonts w:hint="eastAsia"/>
        </w:rPr>
        <w:t>本公众号</w:t>
      </w:r>
      <w:proofErr w:type="gramEnd"/>
      <w:r w:rsidRPr="00FA087B">
        <w:rPr>
          <w:rFonts w:hint="eastAsia"/>
        </w:rPr>
        <w:t>立场</w:t>
      </w:r>
    </w:p>
    <w:sectPr w:rsidR="00AF20D2" w:rsidRPr="002C37E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4904" w14:textId="77777777" w:rsidR="00164F36" w:rsidRDefault="00164F36" w:rsidP="002C37EB">
      <w:pPr>
        <w:spacing w:line="240" w:lineRule="auto"/>
        <w:ind w:firstLine="640"/>
        <w:rPr>
          <w:rFonts w:hint="eastAsia"/>
        </w:rPr>
      </w:pPr>
      <w:r>
        <w:separator/>
      </w:r>
    </w:p>
  </w:endnote>
  <w:endnote w:type="continuationSeparator" w:id="0">
    <w:p w14:paraId="043BF111" w14:textId="77777777" w:rsidR="00164F36" w:rsidRDefault="00164F36" w:rsidP="002C37EB">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2683" w14:textId="77777777" w:rsidR="00836958" w:rsidRDefault="00836958">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592789"/>
      <w:docPartObj>
        <w:docPartGallery w:val="Page Numbers (Bottom of Page)"/>
        <w:docPartUnique/>
      </w:docPartObj>
    </w:sdtPr>
    <w:sdtEndPr>
      <w:rPr>
        <w:sz w:val="21"/>
        <w:szCs w:val="21"/>
      </w:rPr>
    </w:sdtEndPr>
    <w:sdtContent>
      <w:p w14:paraId="5C7C5852" w14:textId="52158CE8" w:rsidR="00836958" w:rsidRPr="00836958" w:rsidRDefault="00836958" w:rsidP="00371D16">
        <w:pPr>
          <w:pStyle w:val="af0"/>
          <w:spacing w:line="240" w:lineRule="auto"/>
          <w:ind w:firstLineChars="0" w:firstLine="0"/>
          <w:jc w:val="center"/>
          <w:rPr>
            <w:rFonts w:hint="eastAsia"/>
            <w:sz w:val="21"/>
            <w:szCs w:val="21"/>
          </w:rPr>
        </w:pPr>
        <w:r w:rsidRPr="00836958">
          <w:rPr>
            <w:sz w:val="21"/>
            <w:szCs w:val="21"/>
          </w:rPr>
          <w:fldChar w:fldCharType="begin"/>
        </w:r>
        <w:r w:rsidRPr="00836958">
          <w:rPr>
            <w:sz w:val="21"/>
            <w:szCs w:val="21"/>
          </w:rPr>
          <w:instrText>PAGE   \* MERGEFORMAT</w:instrText>
        </w:r>
        <w:r w:rsidRPr="00836958">
          <w:rPr>
            <w:sz w:val="21"/>
            <w:szCs w:val="21"/>
          </w:rPr>
          <w:fldChar w:fldCharType="separate"/>
        </w:r>
        <w:r w:rsidRPr="00836958">
          <w:rPr>
            <w:sz w:val="21"/>
            <w:szCs w:val="21"/>
            <w:lang w:val="zh-CN"/>
          </w:rPr>
          <w:t>2</w:t>
        </w:r>
        <w:r w:rsidRPr="00836958">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37F5" w14:textId="77777777" w:rsidR="00836958" w:rsidRDefault="00836958">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B4C2" w14:textId="77777777" w:rsidR="00164F36" w:rsidRDefault="00164F36" w:rsidP="00836958">
      <w:pPr>
        <w:spacing w:line="240" w:lineRule="auto"/>
        <w:ind w:firstLineChars="0" w:firstLine="0"/>
        <w:jc w:val="left"/>
        <w:rPr>
          <w:rFonts w:hint="eastAsia"/>
        </w:rPr>
      </w:pPr>
      <w:r>
        <w:separator/>
      </w:r>
    </w:p>
  </w:footnote>
  <w:footnote w:type="continuationSeparator" w:id="0">
    <w:p w14:paraId="6CD535B9" w14:textId="77777777" w:rsidR="00164F36" w:rsidRDefault="00164F36" w:rsidP="002C37EB">
      <w:pPr>
        <w:spacing w:line="240" w:lineRule="auto"/>
        <w:ind w:firstLine="640"/>
        <w:rPr>
          <w:rFonts w:hint="eastAsia"/>
        </w:rPr>
      </w:pPr>
      <w:r>
        <w:continuationSeparator/>
      </w:r>
    </w:p>
  </w:footnote>
  <w:footnote w:id="1">
    <w:p w14:paraId="115D300B"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European Commission (2024). </w:t>
      </w:r>
      <w:proofErr w:type="spellStart"/>
      <w:r w:rsidRPr="00836958">
        <w:rPr>
          <w:rFonts w:ascii="仿宋" w:eastAsia="仿宋" w:hAnsi="Times New Roman" w:cs="Times New Roman"/>
          <w:sz w:val="21"/>
        </w:rPr>
        <w:t>Generalised</w:t>
      </w:r>
      <w:proofErr w:type="spellEnd"/>
      <w:r w:rsidRPr="00836958">
        <w:rPr>
          <w:rFonts w:ascii="仿宋" w:eastAsia="仿宋" w:hAnsi="Times New Roman" w:cs="Times New Roman"/>
          <w:sz w:val="21"/>
        </w:rPr>
        <w:t xml:space="preserve"> Scheme of Preferences. [online] policy.trade.ec.europa.eu. Available at: https://policy.trade.ec.europa.eu/development-and-sustainability/generalised-scheme-preferences_en.</w:t>
      </w:r>
    </w:p>
  </w:footnote>
  <w:footnote w:id="2">
    <w:p w14:paraId="3F08DA7B"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Erhvervsministeriet (2025). BEK nr 97 af 24/01/2022, Erhvervsministeriet. </w:t>
      </w:r>
      <w:r w:rsidRPr="00836958">
        <w:rPr>
          <w:rFonts w:ascii="仿宋" w:eastAsia="仿宋" w:hAnsi="Times New Roman" w:cs="Times New Roman"/>
          <w:sz w:val="21"/>
        </w:rPr>
        <w:t xml:space="preserve">[online] </w:t>
      </w:r>
      <w:proofErr w:type="spellStart"/>
      <w:r w:rsidRPr="00836958">
        <w:rPr>
          <w:rFonts w:ascii="仿宋" w:eastAsia="仿宋" w:hAnsi="Times New Roman" w:cs="Times New Roman"/>
          <w:sz w:val="21"/>
        </w:rPr>
        <w:t>Retsinformation</w:t>
      </w:r>
      <w:proofErr w:type="spellEnd"/>
      <w:r w:rsidRPr="00836958">
        <w:rPr>
          <w:rFonts w:ascii="仿宋" w:eastAsia="仿宋" w:hAnsi="Times New Roman" w:cs="Times New Roman"/>
          <w:sz w:val="21"/>
        </w:rPr>
        <w:t>. Available at: https://www.retsinformation.dk/eli/lta/2022/97 [Accessed 26 Dec. 2025].</w:t>
      </w:r>
    </w:p>
  </w:footnote>
  <w:footnote w:id="3">
    <w:p w14:paraId="51B27B45"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lang w:val="da-DK"/>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Milj</w:t>
      </w:r>
      <w:r w:rsidRPr="00836958">
        <w:rPr>
          <w:rFonts w:ascii="仿宋" w:eastAsia="仿宋" w:hAnsi="Times New Roman" w:cs="Times New Roman"/>
          <w:sz w:val="21"/>
          <w:lang w:val="da-DK"/>
        </w:rPr>
        <w:t>ø</w:t>
      </w:r>
      <w:r w:rsidRPr="00836958">
        <w:rPr>
          <w:rFonts w:ascii="仿宋" w:eastAsia="仿宋" w:hAnsi="Times New Roman" w:cs="Times New Roman"/>
          <w:sz w:val="21"/>
          <w:lang w:val="da-DK"/>
        </w:rPr>
        <w:t>- og Ligestillingsministeriet (2025). BEK nr 1023 af 29/06/2023, Milj</w:t>
      </w:r>
      <w:r w:rsidRPr="00836958">
        <w:rPr>
          <w:rFonts w:ascii="仿宋" w:eastAsia="仿宋" w:hAnsi="Times New Roman" w:cs="Times New Roman"/>
          <w:sz w:val="21"/>
          <w:lang w:val="da-DK"/>
        </w:rPr>
        <w:t>ø</w:t>
      </w:r>
      <w:r w:rsidRPr="00836958">
        <w:rPr>
          <w:rFonts w:ascii="仿宋" w:eastAsia="仿宋" w:hAnsi="Times New Roman" w:cs="Times New Roman"/>
          <w:sz w:val="21"/>
          <w:lang w:val="da-DK"/>
        </w:rPr>
        <w:t>- og Ligestillingsministeriet. [online] Retsinformation. Available at: https://www.retsinformation.dk/eli/lta/2023/1023.</w:t>
      </w:r>
    </w:p>
  </w:footnote>
  <w:footnote w:id="4">
    <w:p w14:paraId="472FF70F"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Skat.dk | skat.dk. (2025). </w:t>
      </w:r>
      <w:r w:rsidRPr="00836958">
        <w:rPr>
          <w:rFonts w:ascii="仿宋" w:eastAsia="仿宋" w:hAnsi="Times New Roman" w:cs="Times New Roman"/>
          <w:sz w:val="21"/>
        </w:rPr>
        <w:t>What is services exempt of VAT and how do I report sales? Skat.dk. [online] Available at: https://skat.dk/en-us/businesses/vat/vat-what-to-do/services-exempt-from-vat-how-you-file-your-vat-return [Accessed 26 Dec. 2025].</w:t>
      </w:r>
    </w:p>
  </w:footnote>
  <w:footnote w:id="5">
    <w:p w14:paraId="1625D0FF"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Virk.dk. (2021). Sectors and activities - Activities covered by the Investment Screening Act | Business in Denmark. [online] Available at: https://businessindenmark.virk.dk/guidance/erst-activities-covered-by-the-investment-screening-act/Particularly-sensitive-sectors-and-activities/ [Accessed 26 Dec. 2025].</w:t>
      </w:r>
    </w:p>
  </w:footnote>
  <w:footnote w:id="6">
    <w:p w14:paraId="43CF723F"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Retsinformation. (n.d.). LBK nr 1451 af 09/11/2022, Erhvervsministeriet. </w:t>
      </w:r>
      <w:r w:rsidRPr="00836958">
        <w:rPr>
          <w:rFonts w:ascii="仿宋" w:eastAsia="仿宋" w:hAnsi="Times New Roman" w:cs="Times New Roman"/>
          <w:sz w:val="21"/>
        </w:rPr>
        <w:t>[online] Available at: https://www.retsinformation.dk/eli/lta/2022/1451.</w:t>
      </w:r>
    </w:p>
  </w:footnote>
  <w:footnote w:id="7">
    <w:p w14:paraId="085EA9CA"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Kfst.dk. (2019). Mergers and merger control. [online] Available at: https://en.kfst.dk/competition/mergers [Accessed 26 Dec. 2025].</w:t>
      </w:r>
    </w:p>
  </w:footnote>
  <w:footnote w:id="8">
    <w:p w14:paraId="32A46820"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Kfst.dk. (2020). OPP-</w:t>
      </w:r>
      <w:proofErr w:type="spellStart"/>
      <w:r w:rsidRPr="00836958">
        <w:rPr>
          <w:rFonts w:ascii="仿宋" w:eastAsia="仿宋" w:hAnsi="Times New Roman" w:cs="Times New Roman"/>
          <w:sz w:val="21"/>
        </w:rPr>
        <w:t>oversigt</w:t>
      </w:r>
      <w:proofErr w:type="spellEnd"/>
      <w:r w:rsidRPr="00836958">
        <w:rPr>
          <w:rFonts w:ascii="仿宋" w:eastAsia="仿宋" w:hAnsi="Times New Roman" w:cs="Times New Roman"/>
          <w:sz w:val="21"/>
        </w:rPr>
        <w:t>. [online] Available at: https://kfst.dk/udbud/offentlig-privat-samarbejde/offentlig-private-partnerskaber/opp-oversigt [Accessed 26 Dec. 2025].</w:t>
      </w:r>
    </w:p>
  </w:footnote>
  <w:footnote w:id="9">
    <w:p w14:paraId="683B60E0"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businessindenmark.virk.dk. (n.d.). Resignation and termination - Employment and dismissal | Business in Denmark. [online] Available at: https://businessindenmark.virk.dk/guidance/employment-and-dismissal/resignation-and-termination/.</w:t>
      </w:r>
    </w:p>
  </w:footnote>
  <w:footnote w:id="10">
    <w:p w14:paraId="490055A1"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Bm.dk. (2025). Status p</w:t>
      </w:r>
      <w:r w:rsidRPr="00836958">
        <w:rPr>
          <w:rFonts w:ascii="仿宋" w:eastAsia="仿宋" w:hAnsi="Times New Roman" w:cs="Times New Roman"/>
          <w:sz w:val="21"/>
          <w:lang w:val="da-DK"/>
        </w:rPr>
        <w:t>å</w:t>
      </w:r>
      <w:r w:rsidRPr="00836958">
        <w:rPr>
          <w:rFonts w:ascii="仿宋" w:eastAsia="仿宋" w:hAnsi="Times New Roman" w:cs="Times New Roman"/>
          <w:sz w:val="21"/>
          <w:lang w:val="da-DK"/>
        </w:rPr>
        <w:t xml:space="preserve"> arbejdsmarkedet, oktober 2025. </w:t>
      </w:r>
      <w:r w:rsidRPr="00836958">
        <w:rPr>
          <w:rFonts w:ascii="仿宋" w:eastAsia="仿宋" w:hAnsi="Times New Roman" w:cs="Times New Roman"/>
          <w:sz w:val="21"/>
        </w:rPr>
        <w:t>[online] Available at: https://bm.dk/arbejdsomraader/udgivelser/rapporter-publikationer/2025/status-paa-arbejdsmarkedet-oktober-2025 [Accessed 15 Dec. 2025].</w:t>
      </w:r>
    </w:p>
  </w:footnote>
  <w:footnote w:id="11">
    <w:p w14:paraId="2CE1DCAD"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Danmark, U. and Barselsdagpenge (n.d.). </w:t>
      </w:r>
      <w:r w:rsidRPr="00836958">
        <w:rPr>
          <w:rFonts w:ascii="仿宋" w:eastAsia="仿宋" w:hAnsi="Times New Roman" w:cs="Times New Roman"/>
          <w:sz w:val="21"/>
        </w:rPr>
        <w:t>Maternity/paternity benefits. [online] lifeindenmark.borger.dk. Available at: https://lifeindenmark.borger.dk/family-and-children/family-benefits/maternity-paternity-benefits.</w:t>
      </w:r>
    </w:p>
  </w:footnote>
  <w:footnote w:id="12">
    <w:p w14:paraId="6FDBB4DB"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Europa.eu. (2025). Directive - 2003/88 - EN - Working Time Directive - EUR-Lex. [online] Available at: https://eur-lex.europa.eu/eli/dir/2003/88/oj/eng.</w:t>
      </w:r>
    </w:p>
  </w:footnote>
  <w:footnote w:id="13">
    <w:p w14:paraId="5AB637DC"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New to Denmark. (2024). New to Denmark: https://www.nyidanmark.dk/en.</w:t>
      </w:r>
    </w:p>
  </w:footnote>
  <w:footnote w:id="14">
    <w:p w14:paraId="1B89C7F8"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eng.mst.dk. (n.d.). Waste - The Danish </w:t>
      </w:r>
      <w:proofErr w:type="spellStart"/>
      <w:r w:rsidRPr="00836958">
        <w:rPr>
          <w:rFonts w:ascii="仿宋" w:eastAsia="仿宋" w:hAnsi="Times New Roman" w:cs="Times New Roman"/>
          <w:sz w:val="21"/>
        </w:rPr>
        <w:t>Enviromental</w:t>
      </w:r>
      <w:proofErr w:type="spellEnd"/>
      <w:r w:rsidRPr="00836958">
        <w:rPr>
          <w:rFonts w:ascii="仿宋" w:eastAsia="仿宋" w:hAnsi="Times New Roman" w:cs="Times New Roman"/>
          <w:sz w:val="21"/>
        </w:rPr>
        <w:t xml:space="preserve"> Protection Agency. [online] Available at: https://eng.mst.dk/industry/waste.</w:t>
      </w:r>
    </w:p>
  </w:footnote>
  <w:footnote w:id="15">
    <w:p w14:paraId="0FC92ECB"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The Danish </w:t>
      </w:r>
      <w:proofErr w:type="spellStart"/>
      <w:r w:rsidRPr="00836958">
        <w:rPr>
          <w:rFonts w:ascii="仿宋" w:eastAsia="仿宋" w:hAnsi="Times New Roman" w:cs="Times New Roman"/>
          <w:sz w:val="21"/>
        </w:rPr>
        <w:t>Enviromental</w:t>
      </w:r>
      <w:proofErr w:type="spellEnd"/>
      <w:r w:rsidRPr="00836958">
        <w:rPr>
          <w:rFonts w:ascii="仿宋" w:eastAsia="仿宋" w:hAnsi="Times New Roman" w:cs="Times New Roman"/>
          <w:sz w:val="21"/>
        </w:rPr>
        <w:t xml:space="preserve"> Protection Agency. (n.d.). Pesticides. [online] Available at: https://eng.mst.dk/chemicals/pesticides.</w:t>
      </w:r>
    </w:p>
  </w:footnote>
  <w:footnote w:id="16">
    <w:p w14:paraId="3414CFFA"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Milj</w:t>
      </w:r>
      <w:r w:rsidRPr="00836958">
        <w:rPr>
          <w:rFonts w:ascii="仿宋" w:eastAsia="仿宋" w:hAnsi="Times New Roman" w:cs="Times New Roman"/>
          <w:sz w:val="21"/>
          <w:lang w:val="da-DK"/>
        </w:rPr>
        <w:t>ø</w:t>
      </w:r>
      <w:r w:rsidRPr="00836958">
        <w:rPr>
          <w:rFonts w:ascii="仿宋" w:eastAsia="仿宋" w:hAnsi="Times New Roman" w:cs="Times New Roman"/>
          <w:sz w:val="21"/>
          <w:lang w:val="da-DK"/>
        </w:rPr>
        <w:t>- og Ligestillingsministeriet (2025). LBK nr 5 af 03/01/2023, Milj</w:t>
      </w:r>
      <w:r w:rsidRPr="00836958">
        <w:rPr>
          <w:rFonts w:ascii="仿宋" w:eastAsia="仿宋" w:hAnsi="Times New Roman" w:cs="Times New Roman"/>
          <w:sz w:val="21"/>
          <w:lang w:val="da-DK"/>
        </w:rPr>
        <w:t>ø</w:t>
      </w:r>
      <w:r w:rsidRPr="00836958">
        <w:rPr>
          <w:rFonts w:ascii="仿宋" w:eastAsia="仿宋" w:hAnsi="Times New Roman" w:cs="Times New Roman"/>
          <w:sz w:val="21"/>
          <w:lang w:val="da-DK"/>
        </w:rPr>
        <w:t xml:space="preserve">- og Ligestillingsministeriet. </w:t>
      </w:r>
      <w:r w:rsidRPr="00836958">
        <w:rPr>
          <w:rFonts w:ascii="仿宋" w:eastAsia="仿宋" w:hAnsi="Times New Roman" w:cs="Times New Roman"/>
          <w:sz w:val="21"/>
        </w:rPr>
        <w:t xml:space="preserve">[online] </w:t>
      </w:r>
      <w:proofErr w:type="spellStart"/>
      <w:r w:rsidRPr="00836958">
        <w:rPr>
          <w:rFonts w:ascii="仿宋" w:eastAsia="仿宋" w:hAnsi="Times New Roman" w:cs="Times New Roman"/>
          <w:sz w:val="21"/>
        </w:rPr>
        <w:t>Retsinformation</w:t>
      </w:r>
      <w:proofErr w:type="spellEnd"/>
      <w:r w:rsidRPr="00836958">
        <w:rPr>
          <w:rFonts w:ascii="仿宋" w:eastAsia="仿宋" w:hAnsi="Times New Roman" w:cs="Times New Roman"/>
          <w:sz w:val="21"/>
        </w:rPr>
        <w:t>. Available at: https://www.retsinformation.dk/eli/lta/2023/5 [Accessed 26 Dec. 2025].</w:t>
      </w:r>
    </w:p>
  </w:footnote>
  <w:footnote w:id="17">
    <w:p w14:paraId="1D7B866F"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rPr>
        <w:t xml:space="preserve"> UM-ENEN. (n.d.). Anti-Corruption. [online] Available at: https://um.dk/en/danida/anti-corruption.</w:t>
      </w:r>
    </w:p>
  </w:footnote>
  <w:footnote w:id="18">
    <w:p w14:paraId="26E11748"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Europa.eu. (2015). Regulation - 608/2013 - EN - EUR-Lex. </w:t>
      </w:r>
      <w:r w:rsidRPr="00836958">
        <w:rPr>
          <w:rFonts w:ascii="仿宋" w:eastAsia="仿宋" w:hAnsi="Times New Roman" w:cs="Times New Roman"/>
          <w:sz w:val="21"/>
        </w:rPr>
        <w:t>[online] Available at: https://eur-lex.europa.eu/eli/reg/2013/608/oj/eng.</w:t>
      </w:r>
    </w:p>
  </w:footnote>
  <w:footnote w:id="19">
    <w:p w14:paraId="2446FF86"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lang w:val="da-DK"/>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Erhvervsministeriet (2024). LBK nr 648 af 15/06/2006, Erhvervsministeriet. [online] Retsinformation. Available at: https://www.retsinformation.dk/eli/lta/2006/648.</w:t>
      </w:r>
    </w:p>
  </w:footnote>
  <w:footnote w:id="20">
    <w:p w14:paraId="52C56D67" w14:textId="77777777" w:rsidR="002C37EB" w:rsidRPr="00836958" w:rsidRDefault="002C37EB" w:rsidP="00836958">
      <w:pPr>
        <w:pStyle w:val="af2"/>
        <w:keepNext/>
        <w:keepLines/>
        <w:spacing w:after="0" w:line="240" w:lineRule="auto"/>
        <w:ind w:firstLine="420"/>
        <w:rPr>
          <w:rFonts w:ascii="仿宋" w:eastAsia="仿宋" w:hAnsi="Times New Roman" w:cs="Times New Roman"/>
          <w:sz w:val="21"/>
        </w:rPr>
      </w:pPr>
      <w:r w:rsidRPr="00836958">
        <w:rPr>
          <w:rStyle w:val="af4"/>
          <w:rFonts w:ascii="仿宋" w:eastAsia="仿宋" w:hAnsi="Times New Roman" w:cs="Times New Roman"/>
          <w:sz w:val="21"/>
          <w:vertAlign w:val="baseline"/>
        </w:rPr>
        <w:footnoteRef/>
      </w:r>
      <w:r w:rsidRPr="00836958">
        <w:rPr>
          <w:rFonts w:ascii="仿宋" w:eastAsia="仿宋" w:hAnsi="Times New Roman" w:cs="Times New Roman"/>
          <w:sz w:val="21"/>
          <w:lang w:val="da-DK"/>
        </w:rPr>
        <w:t xml:space="preserve"> Justitsministeriet (2025). LBK nr 1101 af 22/09/2017, Justitsministeriet. [online] Retsinformation. </w:t>
      </w:r>
      <w:r w:rsidRPr="00836958">
        <w:rPr>
          <w:rFonts w:ascii="仿宋" w:eastAsia="仿宋" w:hAnsi="Times New Roman" w:cs="Times New Roman"/>
          <w:sz w:val="21"/>
        </w:rPr>
        <w:t>Available at: https://www.retsinformation.dk/eli/lta/2017/1101 [Accessed 26 Dec.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0703" w14:textId="77777777" w:rsidR="00836958" w:rsidRDefault="00836958">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AAD8" w14:textId="77777777" w:rsidR="00836958" w:rsidRDefault="00836958">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D1D4" w14:textId="77777777" w:rsidR="00836958" w:rsidRDefault="00836958">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3F8"/>
    <w:multiLevelType w:val="multilevel"/>
    <w:tmpl w:val="0B5623F8"/>
    <w:lvl w:ilvl="0">
      <w:start w:val="1"/>
      <w:numFmt w:val="chineseCount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01D54D2"/>
    <w:multiLevelType w:val="hybridMultilevel"/>
    <w:tmpl w:val="638ED148"/>
    <w:lvl w:ilvl="0" w:tplc="447E0180">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1B693106"/>
    <w:multiLevelType w:val="hybridMultilevel"/>
    <w:tmpl w:val="E372438C"/>
    <w:lvl w:ilvl="0" w:tplc="59EC3266">
      <w:start w:val="1"/>
      <w:numFmt w:val="chineseCountingThousand"/>
      <w:pStyle w:val="1"/>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3" w15:restartNumberingAfterBreak="0">
    <w:nsid w:val="1D0B6268"/>
    <w:multiLevelType w:val="hybridMultilevel"/>
    <w:tmpl w:val="931407D8"/>
    <w:lvl w:ilvl="0" w:tplc="44C80ACA">
      <w:start w:val="1"/>
      <w:numFmt w:val="chineseCountingThousand"/>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4" w15:restartNumberingAfterBreak="0">
    <w:nsid w:val="328554D0"/>
    <w:multiLevelType w:val="hybridMultilevel"/>
    <w:tmpl w:val="E74CE8AA"/>
    <w:lvl w:ilvl="0" w:tplc="72FA7D44">
      <w:start w:val="1"/>
      <w:numFmt w:val="decimal"/>
      <w:pStyle w:val="3"/>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358C6D2F"/>
    <w:multiLevelType w:val="hybridMultilevel"/>
    <w:tmpl w:val="5224B00E"/>
    <w:lvl w:ilvl="0" w:tplc="FFFFFFFF">
      <w:start w:val="1"/>
      <w:numFmt w:val="decimal"/>
      <w:lvlText w:val="（%1）"/>
      <w:lvlJc w:val="left"/>
      <w:pPr>
        <w:ind w:left="920" w:hanging="440"/>
      </w:pPr>
      <w:rPr>
        <w:rFonts w:hint="eastAsia"/>
      </w:rPr>
    </w:lvl>
    <w:lvl w:ilvl="1" w:tplc="F0ACB17E">
      <w:start w:val="1"/>
      <w:numFmt w:val="decimal"/>
      <w:lvlText w:val="（%2）"/>
      <w:lvlJc w:val="left"/>
      <w:pPr>
        <w:ind w:left="922" w:hanging="440"/>
      </w:pPr>
      <w:rPr>
        <w:rFonts w:hint="eastAsia"/>
      </w:r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379917B3"/>
    <w:multiLevelType w:val="hybridMultilevel"/>
    <w:tmpl w:val="E0F00C12"/>
    <w:lvl w:ilvl="0" w:tplc="FA10F2E4">
      <w:start w:val="1"/>
      <w:numFmt w:val="chineseCountingThousand"/>
      <w:pStyle w:val="2"/>
      <w:lvlText w:val="(%1)"/>
      <w:lvlJc w:val="left"/>
      <w:pPr>
        <w:ind w:left="1042" w:hanging="440"/>
      </w:pPr>
    </w:lvl>
    <w:lvl w:ilvl="1" w:tplc="04090019" w:tentative="1">
      <w:start w:val="1"/>
      <w:numFmt w:val="lowerLetter"/>
      <w:lvlText w:val="%2)"/>
      <w:lvlJc w:val="left"/>
      <w:pPr>
        <w:ind w:left="1482" w:hanging="440"/>
      </w:pPr>
    </w:lvl>
    <w:lvl w:ilvl="2" w:tplc="0409001B" w:tentative="1">
      <w:start w:val="1"/>
      <w:numFmt w:val="lowerRoman"/>
      <w:lvlText w:val="%3."/>
      <w:lvlJc w:val="right"/>
      <w:pPr>
        <w:ind w:left="1922" w:hanging="440"/>
      </w:pPr>
    </w:lvl>
    <w:lvl w:ilvl="3" w:tplc="0409000F" w:tentative="1">
      <w:start w:val="1"/>
      <w:numFmt w:val="decimal"/>
      <w:lvlText w:val="%4."/>
      <w:lvlJc w:val="left"/>
      <w:pPr>
        <w:ind w:left="2362" w:hanging="440"/>
      </w:pPr>
    </w:lvl>
    <w:lvl w:ilvl="4" w:tplc="04090019" w:tentative="1">
      <w:start w:val="1"/>
      <w:numFmt w:val="lowerLetter"/>
      <w:lvlText w:val="%5)"/>
      <w:lvlJc w:val="left"/>
      <w:pPr>
        <w:ind w:left="2802" w:hanging="440"/>
      </w:pPr>
    </w:lvl>
    <w:lvl w:ilvl="5" w:tplc="0409001B" w:tentative="1">
      <w:start w:val="1"/>
      <w:numFmt w:val="lowerRoman"/>
      <w:lvlText w:val="%6."/>
      <w:lvlJc w:val="right"/>
      <w:pPr>
        <w:ind w:left="3242" w:hanging="440"/>
      </w:pPr>
    </w:lvl>
    <w:lvl w:ilvl="6" w:tplc="0409000F" w:tentative="1">
      <w:start w:val="1"/>
      <w:numFmt w:val="decimal"/>
      <w:lvlText w:val="%7."/>
      <w:lvlJc w:val="left"/>
      <w:pPr>
        <w:ind w:left="3682" w:hanging="440"/>
      </w:pPr>
    </w:lvl>
    <w:lvl w:ilvl="7" w:tplc="04090019" w:tentative="1">
      <w:start w:val="1"/>
      <w:numFmt w:val="lowerLetter"/>
      <w:lvlText w:val="%8)"/>
      <w:lvlJc w:val="left"/>
      <w:pPr>
        <w:ind w:left="4122" w:hanging="440"/>
      </w:pPr>
    </w:lvl>
    <w:lvl w:ilvl="8" w:tplc="0409001B" w:tentative="1">
      <w:start w:val="1"/>
      <w:numFmt w:val="lowerRoman"/>
      <w:lvlText w:val="%9."/>
      <w:lvlJc w:val="right"/>
      <w:pPr>
        <w:ind w:left="4562" w:hanging="440"/>
      </w:pPr>
    </w:lvl>
  </w:abstractNum>
  <w:abstractNum w:abstractNumId="7" w15:restartNumberingAfterBreak="0">
    <w:nsid w:val="3A7C703B"/>
    <w:multiLevelType w:val="hybridMultilevel"/>
    <w:tmpl w:val="A794602E"/>
    <w:lvl w:ilvl="0" w:tplc="CA8E6628">
      <w:start w:val="1"/>
      <w:numFmt w:val="japaneseCounting"/>
      <w:lvlText w:val="（%1）"/>
      <w:lvlJc w:val="left"/>
      <w:pPr>
        <w:ind w:left="590" w:hanging="44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8" w15:restartNumberingAfterBreak="0">
    <w:nsid w:val="3EFC1424"/>
    <w:multiLevelType w:val="hybridMultilevel"/>
    <w:tmpl w:val="F7F66570"/>
    <w:lvl w:ilvl="0" w:tplc="E1EA7570">
      <w:start w:val="1"/>
      <w:numFmt w:val="decimal"/>
      <w:lvlText w:val="%1."/>
      <w:lvlJc w:val="left"/>
      <w:pPr>
        <w:ind w:left="640" w:hanging="440"/>
      </w:pPr>
      <w:rPr>
        <w:rFonts w:hint="eastAsia"/>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9" w15:restartNumberingAfterBreak="0">
    <w:nsid w:val="40F00073"/>
    <w:multiLevelType w:val="multilevel"/>
    <w:tmpl w:val="6714D07A"/>
    <w:lvl w:ilvl="0">
      <w:start w:val="1"/>
      <w:numFmt w:val="decimal"/>
      <w:pStyle w:val="4"/>
      <w:lvlText w:val="（%1）"/>
      <w:lvlJc w:val="left"/>
      <w:pPr>
        <w:ind w:left="360" w:hanging="44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3EB536F"/>
    <w:multiLevelType w:val="multilevel"/>
    <w:tmpl w:val="68B2DF42"/>
    <w:lvl w:ilvl="0">
      <w:start w:val="1"/>
      <w:numFmt w:val="lowerLetter"/>
      <w:lvlText w:val="%1."/>
      <w:lvlJc w:val="left"/>
      <w:pPr>
        <w:ind w:left="440" w:hanging="440"/>
      </w:pPr>
    </w:lvl>
    <w:lvl w:ilvl="1">
      <w:start w:val="1"/>
      <w:numFmt w:val="decimal"/>
      <w:lvlText w:val="（%2）"/>
      <w:lvlJc w:val="left"/>
      <w:pPr>
        <w:ind w:left="880" w:hanging="440"/>
      </w:pPr>
      <w:rPr>
        <w:rFonts w:hint="eastAsia"/>
      </w:rPr>
    </w:lvl>
    <w:lvl w:ilvl="2">
      <w:start w:val="3"/>
      <w:numFmt w:val="decimal"/>
      <w:lvlText w:val="%3."/>
      <w:lvlJc w:val="left"/>
      <w:pPr>
        <w:ind w:left="36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60282620"/>
    <w:multiLevelType w:val="hybridMultilevel"/>
    <w:tmpl w:val="C6F67330"/>
    <w:lvl w:ilvl="0" w:tplc="72C2E80A">
      <w:start w:val="1"/>
      <w:numFmt w:val="decimal"/>
      <w:pStyle w:val="5"/>
      <w:lvlText w:val="%1)"/>
      <w:lvlJc w:val="left"/>
      <w:pPr>
        <w:ind w:left="310" w:hanging="440"/>
      </w:pPr>
    </w:lvl>
    <w:lvl w:ilvl="1" w:tplc="04090019" w:tentative="1">
      <w:start w:val="1"/>
      <w:numFmt w:val="lowerLetter"/>
      <w:lvlText w:val="%2)"/>
      <w:lvlJc w:val="left"/>
      <w:pPr>
        <w:ind w:left="750" w:hanging="440"/>
      </w:pPr>
    </w:lvl>
    <w:lvl w:ilvl="2" w:tplc="0409001B" w:tentative="1">
      <w:start w:val="1"/>
      <w:numFmt w:val="lowerRoman"/>
      <w:lvlText w:val="%3."/>
      <w:lvlJc w:val="right"/>
      <w:pPr>
        <w:ind w:left="1190" w:hanging="440"/>
      </w:pPr>
    </w:lvl>
    <w:lvl w:ilvl="3" w:tplc="0409000F" w:tentative="1">
      <w:start w:val="1"/>
      <w:numFmt w:val="decimal"/>
      <w:lvlText w:val="%4."/>
      <w:lvlJc w:val="left"/>
      <w:pPr>
        <w:ind w:left="1630" w:hanging="440"/>
      </w:pPr>
    </w:lvl>
    <w:lvl w:ilvl="4" w:tplc="04090019" w:tentative="1">
      <w:start w:val="1"/>
      <w:numFmt w:val="lowerLetter"/>
      <w:lvlText w:val="%5)"/>
      <w:lvlJc w:val="left"/>
      <w:pPr>
        <w:ind w:left="2070" w:hanging="440"/>
      </w:pPr>
    </w:lvl>
    <w:lvl w:ilvl="5" w:tplc="0409001B" w:tentative="1">
      <w:start w:val="1"/>
      <w:numFmt w:val="lowerRoman"/>
      <w:lvlText w:val="%6."/>
      <w:lvlJc w:val="right"/>
      <w:pPr>
        <w:ind w:left="2510" w:hanging="440"/>
      </w:pPr>
    </w:lvl>
    <w:lvl w:ilvl="6" w:tplc="0409000F" w:tentative="1">
      <w:start w:val="1"/>
      <w:numFmt w:val="decimal"/>
      <w:lvlText w:val="%7."/>
      <w:lvlJc w:val="left"/>
      <w:pPr>
        <w:ind w:left="2950" w:hanging="440"/>
      </w:pPr>
    </w:lvl>
    <w:lvl w:ilvl="7" w:tplc="04090019" w:tentative="1">
      <w:start w:val="1"/>
      <w:numFmt w:val="lowerLetter"/>
      <w:lvlText w:val="%8)"/>
      <w:lvlJc w:val="left"/>
      <w:pPr>
        <w:ind w:left="3390" w:hanging="440"/>
      </w:pPr>
    </w:lvl>
    <w:lvl w:ilvl="8" w:tplc="0409001B" w:tentative="1">
      <w:start w:val="1"/>
      <w:numFmt w:val="lowerRoman"/>
      <w:lvlText w:val="%9."/>
      <w:lvlJc w:val="right"/>
      <w:pPr>
        <w:ind w:left="3830" w:hanging="440"/>
      </w:pPr>
    </w:lvl>
  </w:abstractNum>
  <w:abstractNum w:abstractNumId="12" w15:restartNumberingAfterBreak="0">
    <w:nsid w:val="61F53ED5"/>
    <w:multiLevelType w:val="hybridMultilevel"/>
    <w:tmpl w:val="68B66F48"/>
    <w:lvl w:ilvl="0" w:tplc="8B2230C6">
      <w:start w:val="1"/>
      <w:numFmt w:val="decimal"/>
      <w:lvlText w:val="%1."/>
      <w:lvlJc w:val="left"/>
      <w:pPr>
        <w:ind w:left="640" w:hanging="440"/>
      </w:pPr>
      <w:rPr>
        <w:rFonts w:ascii="Times New Roman" w:hAnsi="Times New Roman"/>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num w:numId="1" w16cid:durableId="1401976748">
    <w:abstractNumId w:val="3"/>
  </w:num>
  <w:num w:numId="2" w16cid:durableId="1248808578">
    <w:abstractNumId w:val="7"/>
  </w:num>
  <w:num w:numId="3" w16cid:durableId="1185437119">
    <w:abstractNumId w:val="12"/>
  </w:num>
  <w:num w:numId="4" w16cid:durableId="1317950346">
    <w:abstractNumId w:val="9"/>
  </w:num>
  <w:num w:numId="5" w16cid:durableId="597953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821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87925">
    <w:abstractNumId w:val="10"/>
  </w:num>
  <w:num w:numId="8" w16cid:durableId="1596012733">
    <w:abstractNumId w:val="0"/>
  </w:num>
  <w:num w:numId="9" w16cid:durableId="31195796">
    <w:abstractNumId w:val="5"/>
  </w:num>
  <w:num w:numId="10" w16cid:durableId="2006785509">
    <w:abstractNumId w:val="2"/>
  </w:num>
  <w:num w:numId="11" w16cid:durableId="1322540983">
    <w:abstractNumId w:val="6"/>
  </w:num>
  <w:num w:numId="12" w16cid:durableId="283078534">
    <w:abstractNumId w:val="8"/>
  </w:num>
  <w:num w:numId="13" w16cid:durableId="768503867">
    <w:abstractNumId w:val="11"/>
  </w:num>
  <w:num w:numId="14" w16cid:durableId="304697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9807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8418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875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8484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862885">
    <w:abstractNumId w:val="8"/>
    <w:lvlOverride w:ilvl="0">
      <w:startOverride w:val="1"/>
    </w:lvlOverride>
  </w:num>
  <w:num w:numId="20" w16cid:durableId="500050659">
    <w:abstractNumId w:val="1"/>
  </w:num>
  <w:num w:numId="21" w16cid:durableId="504830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0254879">
    <w:abstractNumId w:val="4"/>
  </w:num>
  <w:num w:numId="23" w16cid:durableId="1350986549">
    <w:abstractNumId w:val="4"/>
  </w:num>
  <w:num w:numId="24" w16cid:durableId="625935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8320433">
    <w:abstractNumId w:val="4"/>
  </w:num>
  <w:num w:numId="26" w16cid:durableId="1275020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8736050">
    <w:abstractNumId w:val="4"/>
  </w:num>
  <w:num w:numId="28" w16cid:durableId="893353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9182511">
    <w:abstractNumId w:val="4"/>
  </w:num>
  <w:num w:numId="30" w16cid:durableId="406420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158355">
    <w:abstractNumId w:val="4"/>
  </w:num>
  <w:num w:numId="32" w16cid:durableId="162622894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D3"/>
    <w:rsid w:val="000473D3"/>
    <w:rsid w:val="000C37C4"/>
    <w:rsid w:val="00164F36"/>
    <w:rsid w:val="00226D02"/>
    <w:rsid w:val="002C37EB"/>
    <w:rsid w:val="003232CD"/>
    <w:rsid w:val="00371D16"/>
    <w:rsid w:val="006912C2"/>
    <w:rsid w:val="00731C23"/>
    <w:rsid w:val="00820B6B"/>
    <w:rsid w:val="00836958"/>
    <w:rsid w:val="00A36484"/>
    <w:rsid w:val="00A416D2"/>
    <w:rsid w:val="00A911A7"/>
    <w:rsid w:val="00AF20D2"/>
    <w:rsid w:val="00AF4A19"/>
    <w:rsid w:val="00B162EB"/>
    <w:rsid w:val="00C44A48"/>
    <w:rsid w:val="00D12533"/>
    <w:rsid w:val="00D15437"/>
    <w:rsid w:val="00DC60E0"/>
    <w:rsid w:val="00E11107"/>
    <w:rsid w:val="00EE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74E25"/>
  <w15:chartTrackingRefBased/>
  <w15:docId w15:val="{BDD4666E-6B7B-4B43-9221-2B971EF1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EB"/>
    <w:pPr>
      <w:wordWrap w:val="0"/>
      <w:adjustRightInd w:val="0"/>
      <w:snapToGrid w:val="0"/>
      <w:spacing w:line="360" w:lineRule="auto"/>
      <w:ind w:firstLineChars="200" w:firstLine="200"/>
      <w:jc w:val="both"/>
    </w:pPr>
    <w:rPr>
      <w:rFonts w:ascii="仿宋" w:eastAsia="仿宋"/>
      <w:sz w:val="32"/>
    </w:rPr>
  </w:style>
  <w:style w:type="paragraph" w:styleId="1">
    <w:name w:val="heading 1"/>
    <w:basedOn w:val="a"/>
    <w:next w:val="a"/>
    <w:link w:val="10"/>
    <w:uiPriority w:val="9"/>
    <w:qFormat/>
    <w:rsid w:val="00A36484"/>
    <w:pPr>
      <w:keepNext/>
      <w:keepLines/>
      <w:widowControl w:val="0"/>
      <w:numPr>
        <w:numId w:val="10"/>
      </w:numPr>
      <w:ind w:left="0" w:firstLine="200"/>
      <w:jc w:val="left"/>
      <w:outlineLvl w:val="0"/>
    </w:pPr>
    <w:rPr>
      <w:rFonts w:hAnsi="Times New Roman" w:cstheme="majorBidi"/>
      <w:b/>
      <w:szCs w:val="48"/>
    </w:rPr>
  </w:style>
  <w:style w:type="paragraph" w:styleId="2">
    <w:name w:val="heading 2"/>
    <w:basedOn w:val="a"/>
    <w:next w:val="a"/>
    <w:link w:val="20"/>
    <w:uiPriority w:val="9"/>
    <w:unhideWhenUsed/>
    <w:qFormat/>
    <w:rsid w:val="00A36484"/>
    <w:pPr>
      <w:keepNext/>
      <w:keepLines/>
      <w:widowControl w:val="0"/>
      <w:numPr>
        <w:numId w:val="11"/>
      </w:numPr>
      <w:ind w:left="0" w:firstLine="200"/>
      <w:jc w:val="left"/>
      <w:outlineLvl w:val="1"/>
    </w:pPr>
    <w:rPr>
      <w:rFonts w:hAnsi="Times New Roman" w:cstheme="majorBidi"/>
      <w:b/>
      <w:szCs w:val="40"/>
    </w:rPr>
  </w:style>
  <w:style w:type="paragraph" w:styleId="3">
    <w:name w:val="heading 3"/>
    <w:basedOn w:val="a"/>
    <w:next w:val="a"/>
    <w:link w:val="30"/>
    <w:autoRedefine/>
    <w:uiPriority w:val="9"/>
    <w:unhideWhenUsed/>
    <w:qFormat/>
    <w:rsid w:val="00AF20D2"/>
    <w:pPr>
      <w:keepNext/>
      <w:keepLines/>
      <w:widowControl w:val="0"/>
      <w:numPr>
        <w:numId w:val="22"/>
      </w:numPr>
      <w:ind w:firstLineChars="0" w:firstLine="0"/>
      <w:jc w:val="left"/>
      <w:outlineLvl w:val="2"/>
    </w:pPr>
    <w:rPr>
      <w:rFonts w:hAnsi="Times New Roman" w:cstheme="majorBidi"/>
      <w:b/>
      <w:szCs w:val="32"/>
    </w:rPr>
  </w:style>
  <w:style w:type="paragraph" w:styleId="4">
    <w:name w:val="heading 4"/>
    <w:basedOn w:val="a"/>
    <w:next w:val="a"/>
    <w:link w:val="40"/>
    <w:uiPriority w:val="9"/>
    <w:unhideWhenUsed/>
    <w:qFormat/>
    <w:rsid w:val="00A36484"/>
    <w:pPr>
      <w:keepNext/>
      <w:keepLines/>
      <w:widowControl w:val="0"/>
      <w:numPr>
        <w:numId w:val="4"/>
      </w:numPr>
      <w:ind w:left="0" w:firstLine="200"/>
      <w:jc w:val="left"/>
      <w:outlineLvl w:val="3"/>
    </w:pPr>
    <w:rPr>
      <w:rFonts w:hAnsi="Times New Roman" w:cstheme="majorBidi"/>
      <w:b/>
      <w:szCs w:val="28"/>
    </w:rPr>
  </w:style>
  <w:style w:type="paragraph" w:styleId="5">
    <w:name w:val="heading 5"/>
    <w:basedOn w:val="a"/>
    <w:next w:val="a"/>
    <w:link w:val="50"/>
    <w:uiPriority w:val="9"/>
    <w:unhideWhenUsed/>
    <w:qFormat/>
    <w:rsid w:val="00A36484"/>
    <w:pPr>
      <w:keepNext/>
      <w:keepLines/>
      <w:widowControl w:val="0"/>
      <w:numPr>
        <w:numId w:val="13"/>
      </w:numPr>
      <w:tabs>
        <w:tab w:val="num" w:pos="720"/>
      </w:tabs>
      <w:ind w:left="0" w:firstLine="200"/>
      <w:jc w:val="left"/>
      <w:outlineLvl w:val="4"/>
    </w:pPr>
    <w:rPr>
      <w:rFonts w:hAnsi="Times New Roman" w:cstheme="majorBidi"/>
      <w:b/>
      <w:szCs w:val="24"/>
    </w:rPr>
  </w:style>
  <w:style w:type="paragraph" w:styleId="6">
    <w:name w:val="heading 6"/>
    <w:basedOn w:val="a"/>
    <w:next w:val="a"/>
    <w:link w:val="60"/>
    <w:uiPriority w:val="9"/>
    <w:unhideWhenUsed/>
    <w:qFormat/>
    <w:rsid w:val="000C37C4"/>
    <w:pPr>
      <w:keepNext/>
      <w:keepLines/>
      <w:widowControl w:val="0"/>
      <w:tabs>
        <w:tab w:val="num" w:pos="720"/>
      </w:tabs>
      <w:ind w:left="640" w:hanging="720"/>
      <w:outlineLvl w:val="5"/>
    </w:pPr>
    <w:rPr>
      <w:rFonts w:ascii="Times New Roman" w:eastAsia="宋体" w:hAnsi="Times New Roman" w:cstheme="majorBidi"/>
      <w:b/>
      <w:bCs/>
      <w:sz w:val="24"/>
      <w:szCs w:val="24"/>
    </w:rPr>
  </w:style>
  <w:style w:type="paragraph" w:styleId="7">
    <w:name w:val="heading 7"/>
    <w:basedOn w:val="a"/>
    <w:next w:val="a"/>
    <w:link w:val="70"/>
    <w:uiPriority w:val="9"/>
    <w:semiHidden/>
    <w:unhideWhenUsed/>
    <w:qFormat/>
    <w:rsid w:val="000473D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3D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73D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484"/>
    <w:rPr>
      <w:rFonts w:ascii="仿宋" w:eastAsia="仿宋" w:hAnsi="Times New Roman" w:cstheme="majorBidi"/>
      <w:b/>
      <w:sz w:val="32"/>
      <w:szCs w:val="48"/>
    </w:rPr>
  </w:style>
  <w:style w:type="character" w:customStyle="1" w:styleId="20">
    <w:name w:val="标题 2 字符"/>
    <w:basedOn w:val="a0"/>
    <w:link w:val="2"/>
    <w:uiPriority w:val="9"/>
    <w:rsid w:val="00A36484"/>
    <w:rPr>
      <w:rFonts w:ascii="仿宋" w:eastAsia="仿宋" w:hAnsi="Times New Roman" w:cstheme="majorBidi"/>
      <w:b/>
      <w:sz w:val="32"/>
      <w:szCs w:val="40"/>
    </w:rPr>
  </w:style>
  <w:style w:type="character" w:customStyle="1" w:styleId="30">
    <w:name w:val="标题 3 字符"/>
    <w:basedOn w:val="a0"/>
    <w:link w:val="3"/>
    <w:uiPriority w:val="9"/>
    <w:rsid w:val="00AF20D2"/>
    <w:rPr>
      <w:rFonts w:ascii="仿宋" w:eastAsia="仿宋" w:hAnsi="Times New Roman" w:cstheme="majorBidi"/>
      <w:b/>
      <w:sz w:val="32"/>
      <w:szCs w:val="32"/>
    </w:rPr>
  </w:style>
  <w:style w:type="character" w:customStyle="1" w:styleId="40">
    <w:name w:val="标题 4 字符"/>
    <w:basedOn w:val="a0"/>
    <w:link w:val="4"/>
    <w:uiPriority w:val="9"/>
    <w:rsid w:val="00A36484"/>
    <w:rPr>
      <w:rFonts w:ascii="仿宋" w:eastAsia="仿宋" w:hAnsi="Times New Roman" w:cstheme="majorBidi"/>
      <w:b/>
      <w:sz w:val="32"/>
      <w:szCs w:val="28"/>
    </w:rPr>
  </w:style>
  <w:style w:type="character" w:customStyle="1" w:styleId="50">
    <w:name w:val="标题 5 字符"/>
    <w:basedOn w:val="a0"/>
    <w:link w:val="5"/>
    <w:uiPriority w:val="9"/>
    <w:rsid w:val="00A36484"/>
    <w:rPr>
      <w:rFonts w:ascii="仿宋" w:eastAsia="仿宋" w:hAnsi="Times New Roman" w:cstheme="majorBidi"/>
      <w:b/>
      <w:sz w:val="32"/>
      <w:szCs w:val="24"/>
    </w:rPr>
  </w:style>
  <w:style w:type="character" w:customStyle="1" w:styleId="60">
    <w:name w:val="标题 6 字符"/>
    <w:basedOn w:val="a0"/>
    <w:link w:val="6"/>
    <w:uiPriority w:val="9"/>
    <w:rsid w:val="000C37C4"/>
    <w:rPr>
      <w:rFonts w:ascii="Times New Roman" w:eastAsia="宋体" w:hAnsi="Times New Roman" w:cstheme="majorBidi"/>
      <w:b/>
      <w:bCs/>
      <w:sz w:val="24"/>
      <w:szCs w:val="24"/>
    </w:rPr>
  </w:style>
  <w:style w:type="character" w:customStyle="1" w:styleId="70">
    <w:name w:val="标题 7 字符"/>
    <w:basedOn w:val="a0"/>
    <w:link w:val="7"/>
    <w:uiPriority w:val="9"/>
    <w:semiHidden/>
    <w:rsid w:val="000473D3"/>
    <w:rPr>
      <w:rFonts w:cstheme="majorBidi"/>
      <w:b/>
      <w:bCs/>
      <w:color w:val="595959" w:themeColor="text1" w:themeTint="A6"/>
    </w:rPr>
  </w:style>
  <w:style w:type="character" w:customStyle="1" w:styleId="80">
    <w:name w:val="标题 8 字符"/>
    <w:basedOn w:val="a0"/>
    <w:link w:val="8"/>
    <w:uiPriority w:val="9"/>
    <w:semiHidden/>
    <w:rsid w:val="000473D3"/>
    <w:rPr>
      <w:rFonts w:cstheme="majorBidi"/>
      <w:color w:val="595959" w:themeColor="text1" w:themeTint="A6"/>
    </w:rPr>
  </w:style>
  <w:style w:type="character" w:customStyle="1" w:styleId="90">
    <w:name w:val="标题 9 字符"/>
    <w:basedOn w:val="a0"/>
    <w:link w:val="9"/>
    <w:uiPriority w:val="9"/>
    <w:semiHidden/>
    <w:rsid w:val="000473D3"/>
    <w:rPr>
      <w:rFonts w:eastAsiaTheme="majorEastAsia" w:cstheme="majorBidi"/>
      <w:color w:val="595959" w:themeColor="text1" w:themeTint="A6"/>
    </w:rPr>
  </w:style>
  <w:style w:type="paragraph" w:styleId="a3">
    <w:name w:val="Title"/>
    <w:basedOn w:val="a"/>
    <w:next w:val="a"/>
    <w:link w:val="a4"/>
    <w:uiPriority w:val="10"/>
    <w:qFormat/>
    <w:rsid w:val="000473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3D3"/>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3D3"/>
    <w:pPr>
      <w:spacing w:before="160" w:after="160"/>
      <w:jc w:val="center"/>
    </w:pPr>
    <w:rPr>
      <w:i/>
      <w:iCs/>
      <w:color w:val="404040" w:themeColor="text1" w:themeTint="BF"/>
    </w:rPr>
  </w:style>
  <w:style w:type="character" w:customStyle="1" w:styleId="a8">
    <w:name w:val="引用 字符"/>
    <w:basedOn w:val="a0"/>
    <w:link w:val="a7"/>
    <w:uiPriority w:val="29"/>
    <w:rsid w:val="000473D3"/>
    <w:rPr>
      <w:i/>
      <w:iCs/>
      <w:color w:val="404040" w:themeColor="text1" w:themeTint="BF"/>
    </w:rPr>
  </w:style>
  <w:style w:type="paragraph" w:styleId="a9">
    <w:name w:val="List Paragraph"/>
    <w:basedOn w:val="a"/>
    <w:uiPriority w:val="34"/>
    <w:qFormat/>
    <w:rsid w:val="000473D3"/>
    <w:pPr>
      <w:ind w:left="720"/>
      <w:contextualSpacing/>
    </w:pPr>
  </w:style>
  <w:style w:type="character" w:styleId="aa">
    <w:name w:val="Intense Emphasis"/>
    <w:basedOn w:val="a0"/>
    <w:uiPriority w:val="21"/>
    <w:qFormat/>
    <w:rsid w:val="000473D3"/>
    <w:rPr>
      <w:i/>
      <w:iCs/>
      <w:color w:val="2F5496" w:themeColor="accent1" w:themeShade="BF"/>
    </w:rPr>
  </w:style>
  <w:style w:type="paragraph" w:styleId="ab">
    <w:name w:val="Intense Quote"/>
    <w:basedOn w:val="a"/>
    <w:next w:val="a"/>
    <w:link w:val="ac"/>
    <w:uiPriority w:val="30"/>
    <w:qFormat/>
    <w:rsid w:val="00047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3D3"/>
    <w:rPr>
      <w:i/>
      <w:iCs/>
      <w:color w:val="2F5496" w:themeColor="accent1" w:themeShade="BF"/>
    </w:rPr>
  </w:style>
  <w:style w:type="character" w:styleId="ad">
    <w:name w:val="Intense Reference"/>
    <w:basedOn w:val="a0"/>
    <w:uiPriority w:val="32"/>
    <w:qFormat/>
    <w:rsid w:val="000473D3"/>
    <w:rPr>
      <w:b/>
      <w:bCs/>
      <w:smallCaps/>
      <w:color w:val="2F5496" w:themeColor="accent1" w:themeShade="BF"/>
      <w:spacing w:val="5"/>
    </w:rPr>
  </w:style>
  <w:style w:type="paragraph" w:styleId="ae">
    <w:name w:val="header"/>
    <w:basedOn w:val="a"/>
    <w:link w:val="af"/>
    <w:uiPriority w:val="99"/>
    <w:unhideWhenUsed/>
    <w:rsid w:val="002C37EB"/>
    <w:pPr>
      <w:tabs>
        <w:tab w:val="center" w:pos="4153"/>
        <w:tab w:val="right" w:pos="8306"/>
      </w:tabs>
      <w:jc w:val="center"/>
    </w:pPr>
    <w:rPr>
      <w:sz w:val="18"/>
      <w:szCs w:val="18"/>
    </w:rPr>
  </w:style>
  <w:style w:type="character" w:customStyle="1" w:styleId="af">
    <w:name w:val="页眉 字符"/>
    <w:basedOn w:val="a0"/>
    <w:link w:val="ae"/>
    <w:uiPriority w:val="99"/>
    <w:rsid w:val="002C37EB"/>
    <w:rPr>
      <w:sz w:val="18"/>
      <w:szCs w:val="18"/>
    </w:rPr>
  </w:style>
  <w:style w:type="paragraph" w:styleId="af0">
    <w:name w:val="footer"/>
    <w:basedOn w:val="a"/>
    <w:link w:val="af1"/>
    <w:uiPriority w:val="99"/>
    <w:unhideWhenUsed/>
    <w:rsid w:val="002C37EB"/>
    <w:pPr>
      <w:tabs>
        <w:tab w:val="center" w:pos="4153"/>
        <w:tab w:val="right" w:pos="8306"/>
      </w:tabs>
    </w:pPr>
    <w:rPr>
      <w:sz w:val="18"/>
      <w:szCs w:val="18"/>
    </w:rPr>
  </w:style>
  <w:style w:type="character" w:customStyle="1" w:styleId="af1">
    <w:name w:val="页脚 字符"/>
    <w:basedOn w:val="a0"/>
    <w:link w:val="af0"/>
    <w:uiPriority w:val="99"/>
    <w:rsid w:val="002C37EB"/>
    <w:rPr>
      <w:sz w:val="18"/>
      <w:szCs w:val="18"/>
    </w:rPr>
  </w:style>
  <w:style w:type="paragraph" w:styleId="af2">
    <w:name w:val="footnote text"/>
    <w:basedOn w:val="a"/>
    <w:link w:val="af3"/>
    <w:uiPriority w:val="9"/>
    <w:unhideWhenUsed/>
    <w:qFormat/>
    <w:rsid w:val="002C37EB"/>
    <w:pPr>
      <w:widowControl w:val="0"/>
      <w:spacing w:after="240"/>
    </w:pPr>
    <w:rPr>
      <w:rFonts w:ascii="Arial" w:eastAsia="宋体" w:hAnsi="Arial"/>
      <w:sz w:val="18"/>
      <w:szCs w:val="18"/>
      <w14:ligatures w14:val="none"/>
    </w:rPr>
  </w:style>
  <w:style w:type="character" w:customStyle="1" w:styleId="af3">
    <w:name w:val="脚注文本 字符"/>
    <w:basedOn w:val="a0"/>
    <w:link w:val="af2"/>
    <w:uiPriority w:val="9"/>
    <w:qFormat/>
    <w:rsid w:val="002C37EB"/>
    <w:rPr>
      <w:rFonts w:ascii="Arial" w:eastAsia="宋体" w:hAnsi="Arial"/>
      <w:sz w:val="18"/>
      <w:szCs w:val="18"/>
      <w14:ligatures w14:val="none"/>
    </w:rPr>
  </w:style>
  <w:style w:type="character" w:customStyle="1" w:styleId="11">
    <w:name w:val="超链接1"/>
    <w:basedOn w:val="a0"/>
    <w:uiPriority w:val="99"/>
    <w:unhideWhenUsed/>
    <w:qFormat/>
    <w:rsid w:val="002C37EB"/>
    <w:rPr>
      <w:color w:val="0563C1"/>
      <w:u w:val="single"/>
    </w:rPr>
  </w:style>
  <w:style w:type="character" w:styleId="af4">
    <w:name w:val="footnote reference"/>
    <w:basedOn w:val="a0"/>
    <w:unhideWhenUsed/>
    <w:qFormat/>
    <w:rsid w:val="002C37EB"/>
    <w:rPr>
      <w:vertAlign w:val="superscript"/>
    </w:rPr>
  </w:style>
  <w:style w:type="character" w:styleId="af5">
    <w:name w:val="Hyperlink"/>
    <w:basedOn w:val="a0"/>
    <w:uiPriority w:val="99"/>
    <w:semiHidden/>
    <w:unhideWhenUsed/>
    <w:rsid w:val="002C3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29</Pages>
  <Words>6436</Words>
  <Characters>7274</Characters>
  <Application>Microsoft Office Word</Application>
  <DocSecurity>0</DocSecurity>
  <Lines>316</Lines>
  <Paragraphs>180</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Grandall</dc:creator>
  <cp:keywords/>
  <dc:description/>
  <cp:lastModifiedBy>Grandall</cp:lastModifiedBy>
  <cp:revision>10</cp:revision>
  <dcterms:created xsi:type="dcterms:W3CDTF">2026-04-17T08:01:00Z</dcterms:created>
  <dcterms:modified xsi:type="dcterms:W3CDTF">2026-04-23T01:50:00Z</dcterms:modified>
</cp:coreProperties>
</file>