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570CC8" w14:textId="1F2BEDA7" w:rsidR="002F279F" w:rsidRPr="002F279F" w:rsidRDefault="002F279F" w:rsidP="002F279F">
      <w:pPr>
        <w:jc w:val="center"/>
        <w:rPr>
          <w:rFonts w:ascii="仿宋" w:eastAsia="仿宋" w:hAnsi="仿宋" w:hint="eastAsia"/>
          <w:b/>
          <w:bCs/>
          <w:sz w:val="28"/>
          <w:szCs w:val="28"/>
        </w:rPr>
      </w:pPr>
      <w:r w:rsidRPr="002F279F">
        <w:rPr>
          <w:rFonts w:ascii="仿宋" w:eastAsia="仿宋" w:hAnsi="仿宋" w:hint="eastAsia"/>
          <w:b/>
          <w:bCs/>
          <w:sz w:val="28"/>
          <w:szCs w:val="28"/>
        </w:rPr>
        <w:t>专业指引</w:t>
      </w:r>
    </w:p>
    <w:p w14:paraId="08A98403" w14:textId="7BA8A1E0" w:rsidR="002F279F" w:rsidRPr="002F279F" w:rsidRDefault="002F279F" w:rsidP="002F279F">
      <w:pPr>
        <w:jc w:val="center"/>
        <w:rPr>
          <w:rFonts w:ascii="仿宋" w:eastAsia="仿宋" w:hAnsi="仿宋"/>
          <w:b/>
          <w:bCs/>
          <w:sz w:val="28"/>
          <w:szCs w:val="28"/>
        </w:rPr>
      </w:pPr>
      <w:r w:rsidRPr="002F279F">
        <w:rPr>
          <w:rFonts w:ascii="仿宋" w:eastAsia="仿宋" w:hAnsi="仿宋"/>
          <w:b/>
          <w:bCs/>
          <w:sz w:val="28"/>
          <w:szCs w:val="28"/>
        </w:rPr>
        <w:t>海外金融账户混同涉税合</w:t>
      </w:r>
      <w:proofErr w:type="gramStart"/>
      <w:r w:rsidRPr="002F279F">
        <w:rPr>
          <w:rFonts w:ascii="仿宋" w:eastAsia="仿宋" w:hAnsi="仿宋"/>
          <w:b/>
          <w:bCs/>
          <w:sz w:val="28"/>
          <w:szCs w:val="28"/>
        </w:rPr>
        <w:t>规</w:t>
      </w:r>
      <w:proofErr w:type="gramEnd"/>
      <w:r w:rsidRPr="002F279F">
        <w:rPr>
          <w:rFonts w:ascii="仿宋" w:eastAsia="仿宋" w:hAnsi="仿宋"/>
          <w:b/>
          <w:bCs/>
          <w:sz w:val="28"/>
          <w:szCs w:val="28"/>
        </w:rPr>
        <w:t>指引</w:t>
      </w:r>
    </w:p>
    <w:p w14:paraId="48D2CE1C" w14:textId="77777777" w:rsidR="002F279F" w:rsidRPr="002F279F" w:rsidRDefault="002F279F" w:rsidP="002F279F">
      <w:pPr>
        <w:rPr>
          <w:rFonts w:ascii="仿宋" w:eastAsia="仿宋" w:hAnsi="仿宋" w:hint="eastAsia"/>
          <w:b/>
          <w:bCs/>
          <w:sz w:val="24"/>
          <w:szCs w:val="24"/>
        </w:rPr>
      </w:pPr>
    </w:p>
    <w:p w14:paraId="5A39D5B9" w14:textId="77777777" w:rsidR="002F279F" w:rsidRPr="002F279F" w:rsidRDefault="002F279F" w:rsidP="002F279F">
      <w:pPr>
        <w:jc w:val="center"/>
        <w:rPr>
          <w:rFonts w:ascii="仿宋" w:eastAsia="仿宋" w:hAnsi="仿宋" w:hint="eastAsia"/>
          <w:sz w:val="24"/>
          <w:szCs w:val="24"/>
        </w:rPr>
      </w:pPr>
      <w:r w:rsidRPr="002F279F">
        <w:rPr>
          <w:rFonts w:ascii="仿宋" w:eastAsia="仿宋" w:hAnsi="仿宋" w:hint="eastAsia"/>
          <w:sz w:val="24"/>
          <w:szCs w:val="24"/>
        </w:rPr>
        <w:t>作者单位：上海锦天城律师事务所</w:t>
      </w:r>
    </w:p>
    <w:p w14:paraId="33553BAF" w14:textId="17F06E60" w:rsidR="002F279F" w:rsidRPr="002F279F" w:rsidRDefault="002F279F" w:rsidP="002F279F">
      <w:pPr>
        <w:jc w:val="center"/>
        <w:rPr>
          <w:rFonts w:ascii="仿宋" w:eastAsia="仿宋" w:hAnsi="仿宋"/>
          <w:sz w:val="24"/>
          <w:szCs w:val="24"/>
        </w:rPr>
      </w:pPr>
      <w:r>
        <w:rPr>
          <w:rFonts w:ascii="仿宋" w:eastAsia="仿宋" w:hAnsi="仿宋" w:hint="eastAsia"/>
          <w:sz w:val="24"/>
          <w:szCs w:val="24"/>
        </w:rPr>
        <w:t xml:space="preserve"> </w:t>
      </w:r>
      <w:r w:rsidRPr="002F279F">
        <w:rPr>
          <w:rFonts w:ascii="仿宋" w:eastAsia="仿宋" w:hAnsi="仿宋" w:hint="eastAsia"/>
          <w:sz w:val="24"/>
          <w:szCs w:val="24"/>
        </w:rPr>
        <w:t>作者：</w:t>
      </w:r>
      <w:r w:rsidRPr="002F279F">
        <w:rPr>
          <w:rFonts w:ascii="仿宋" w:eastAsia="仿宋" w:hAnsi="仿宋"/>
          <w:sz w:val="24"/>
          <w:szCs w:val="24"/>
        </w:rPr>
        <w:t>全开明 洪一帆</w:t>
      </w:r>
      <w:r w:rsidRPr="002F279F">
        <w:rPr>
          <w:rFonts w:ascii="仿宋" w:eastAsia="仿宋" w:hAnsi="仿宋" w:hint="eastAsia"/>
          <w:sz w:val="24"/>
          <w:szCs w:val="24"/>
        </w:rPr>
        <w:t xml:space="preserve"> </w:t>
      </w:r>
      <w:r w:rsidRPr="002F279F">
        <w:rPr>
          <w:rFonts w:ascii="仿宋" w:eastAsia="仿宋" w:hAnsi="仿宋"/>
          <w:sz w:val="24"/>
          <w:szCs w:val="24"/>
        </w:rPr>
        <w:t>袁苇 谢美山</w:t>
      </w:r>
      <w:r w:rsidRPr="002F279F">
        <w:rPr>
          <w:rFonts w:ascii="仿宋" w:eastAsia="仿宋" w:hAnsi="仿宋"/>
          <w:sz w:val="24"/>
          <w:szCs w:val="24"/>
        </w:rPr>
        <w:br/>
      </w:r>
    </w:p>
    <w:p w14:paraId="1FEBB42F" w14:textId="3774E93F" w:rsidR="002F279F" w:rsidRPr="002F279F" w:rsidRDefault="002F279F" w:rsidP="002F279F">
      <w:pPr>
        <w:rPr>
          <w:rFonts w:ascii="仿宋" w:eastAsia="仿宋" w:hAnsi="仿宋"/>
          <w:sz w:val="24"/>
          <w:szCs w:val="24"/>
        </w:rPr>
      </w:pPr>
      <w:r w:rsidRPr="002F279F">
        <w:rPr>
          <w:rFonts w:ascii="仿宋" w:eastAsia="仿宋" w:hAnsi="仿宋"/>
          <w:b/>
          <w:bCs/>
          <w:sz w:val="24"/>
          <w:szCs w:val="24"/>
        </w:rPr>
        <w:t>摘要</w:t>
      </w:r>
      <w:r>
        <w:rPr>
          <w:rFonts w:ascii="仿宋" w:eastAsia="仿宋" w:hAnsi="仿宋" w:hint="eastAsia"/>
          <w:b/>
          <w:bCs/>
          <w:sz w:val="24"/>
          <w:szCs w:val="24"/>
        </w:rPr>
        <w:t>：</w:t>
      </w:r>
      <w:r w:rsidRPr="002F279F">
        <w:rPr>
          <w:rFonts w:ascii="仿宋" w:eastAsia="仿宋" w:hAnsi="仿宋"/>
          <w:sz w:val="24"/>
          <w:szCs w:val="24"/>
        </w:rPr>
        <w:t>随着《民营经济促进法》的施行，金税四期的推广和反洗钱监管能力的增强，海外金融账户的混同风险变得尤为显著，包括被认定为法人人格混同、面临税务处罚、涉嫌洗钱等问题，这些都足以引起企业与个人的高度关注。本文结合相关法律法规，分析了股东借款未还视同分红、隐匿收入、虚构交易洗钱、个人账户收跨境款等高危场景，并辅以实际案例，最后提出适当的合</w:t>
      </w:r>
      <w:proofErr w:type="gramStart"/>
      <w:r w:rsidRPr="002F279F">
        <w:rPr>
          <w:rFonts w:ascii="仿宋" w:eastAsia="仿宋" w:hAnsi="仿宋"/>
          <w:sz w:val="24"/>
          <w:szCs w:val="24"/>
        </w:rPr>
        <w:t>规</w:t>
      </w:r>
      <w:proofErr w:type="gramEnd"/>
      <w:r w:rsidRPr="002F279F">
        <w:rPr>
          <w:rFonts w:ascii="仿宋" w:eastAsia="仿宋" w:hAnsi="仿宋"/>
          <w:sz w:val="24"/>
          <w:szCs w:val="24"/>
        </w:rPr>
        <w:t>路径，以实现公私账户的平衡，防控税务及法律风险。</w:t>
      </w:r>
    </w:p>
    <w:p w14:paraId="306C34C3" w14:textId="1B24E4A4" w:rsidR="002F279F" w:rsidRPr="002F279F" w:rsidRDefault="002F279F" w:rsidP="002F279F">
      <w:pPr>
        <w:rPr>
          <w:rFonts w:ascii="仿宋" w:eastAsia="仿宋" w:hAnsi="仿宋"/>
          <w:sz w:val="24"/>
          <w:szCs w:val="24"/>
        </w:rPr>
      </w:pPr>
    </w:p>
    <w:p w14:paraId="4230D8F8" w14:textId="1F5EDC4D" w:rsidR="002F279F" w:rsidRPr="002F279F" w:rsidRDefault="002F279F" w:rsidP="002F279F">
      <w:pPr>
        <w:rPr>
          <w:rFonts w:ascii="仿宋" w:eastAsia="仿宋" w:hAnsi="仿宋"/>
          <w:sz w:val="24"/>
          <w:szCs w:val="24"/>
        </w:rPr>
      </w:pPr>
      <w:r w:rsidRPr="002F279F">
        <w:rPr>
          <w:rFonts w:ascii="仿宋" w:eastAsia="仿宋" w:hAnsi="仿宋"/>
          <w:b/>
          <w:bCs/>
          <w:sz w:val="24"/>
          <w:szCs w:val="24"/>
        </w:rPr>
        <w:t>关键词</w:t>
      </w:r>
      <w:r>
        <w:rPr>
          <w:rFonts w:ascii="仿宋" w:eastAsia="仿宋" w:hAnsi="仿宋" w:hint="eastAsia"/>
          <w:b/>
          <w:bCs/>
          <w:sz w:val="24"/>
          <w:szCs w:val="24"/>
        </w:rPr>
        <w:t>：</w:t>
      </w:r>
      <w:r w:rsidRPr="002F279F">
        <w:rPr>
          <w:rFonts w:ascii="仿宋" w:eastAsia="仿宋" w:hAnsi="仿宋"/>
          <w:b/>
          <w:bCs/>
          <w:sz w:val="24"/>
          <w:szCs w:val="24"/>
        </w:rPr>
        <w:t>海外金融账户 公司与个人账户混同 涉税风险 合</w:t>
      </w:r>
      <w:proofErr w:type="gramStart"/>
      <w:r w:rsidRPr="002F279F">
        <w:rPr>
          <w:rFonts w:ascii="仿宋" w:eastAsia="仿宋" w:hAnsi="仿宋"/>
          <w:b/>
          <w:bCs/>
          <w:sz w:val="24"/>
          <w:szCs w:val="24"/>
        </w:rPr>
        <w:t>规</w:t>
      </w:r>
      <w:proofErr w:type="gramEnd"/>
      <w:r w:rsidRPr="002F279F">
        <w:rPr>
          <w:rFonts w:ascii="仿宋" w:eastAsia="仿宋" w:hAnsi="仿宋"/>
          <w:b/>
          <w:bCs/>
          <w:sz w:val="24"/>
          <w:szCs w:val="24"/>
        </w:rPr>
        <w:t>指引</w:t>
      </w:r>
    </w:p>
    <w:p w14:paraId="67008629" w14:textId="153638D0" w:rsidR="002F279F" w:rsidRPr="002F279F" w:rsidRDefault="002F279F" w:rsidP="002F279F">
      <w:pPr>
        <w:rPr>
          <w:rFonts w:ascii="仿宋" w:eastAsia="仿宋" w:hAnsi="仿宋"/>
          <w:sz w:val="24"/>
          <w:szCs w:val="24"/>
        </w:rPr>
      </w:pPr>
    </w:p>
    <w:p w14:paraId="7F9054AA" w14:textId="5C2E37F0" w:rsidR="002F279F" w:rsidRPr="002F279F" w:rsidRDefault="002F279F" w:rsidP="002F279F">
      <w:pPr>
        <w:rPr>
          <w:rFonts w:ascii="仿宋" w:eastAsia="仿宋" w:hAnsi="仿宋"/>
          <w:sz w:val="24"/>
          <w:szCs w:val="24"/>
        </w:rPr>
      </w:pPr>
      <w:r w:rsidRPr="002F279F">
        <w:rPr>
          <w:rFonts w:ascii="仿宋" w:eastAsia="仿宋" w:hAnsi="仿宋"/>
          <w:b/>
          <w:bCs/>
          <w:sz w:val="24"/>
          <w:szCs w:val="24"/>
        </w:rPr>
        <w:t>一、引言：金融账户混同的风险正在暴露</w:t>
      </w:r>
      <w:r w:rsidRPr="002F279F">
        <w:rPr>
          <w:rFonts w:ascii="仿宋" w:eastAsia="仿宋" w:hAnsi="仿宋"/>
          <w:sz w:val="24"/>
          <w:szCs w:val="24"/>
        </w:rPr>
        <w:br/>
      </w:r>
    </w:p>
    <w:p w14:paraId="0E1353BD" w14:textId="42831C6A" w:rsidR="002F279F" w:rsidRPr="002F279F" w:rsidRDefault="002F279F" w:rsidP="002F279F">
      <w:pPr>
        <w:ind w:firstLineChars="200" w:firstLine="480"/>
        <w:rPr>
          <w:rFonts w:ascii="仿宋" w:eastAsia="仿宋" w:hAnsi="仿宋"/>
          <w:sz w:val="24"/>
          <w:szCs w:val="24"/>
        </w:rPr>
      </w:pPr>
      <w:r w:rsidRPr="002F279F">
        <w:rPr>
          <w:rFonts w:ascii="仿宋" w:eastAsia="仿宋" w:hAnsi="仿宋"/>
          <w:sz w:val="24"/>
          <w:szCs w:val="24"/>
        </w:rPr>
        <w:t>2025年4月30日，《中华人民共和国民营经济促进法》（以下简称《民营经济促进法》）经表决通过，已于5月20日起开始施行，是我国首部专门关于民营经济发展的基础性法律。其中，民营经济组织的经营合</w:t>
      </w:r>
      <w:proofErr w:type="gramStart"/>
      <w:r w:rsidRPr="002F279F">
        <w:rPr>
          <w:rFonts w:ascii="仿宋" w:eastAsia="仿宋" w:hAnsi="仿宋"/>
          <w:sz w:val="24"/>
          <w:szCs w:val="24"/>
        </w:rPr>
        <w:t>规</w:t>
      </w:r>
      <w:proofErr w:type="gramEnd"/>
      <w:r w:rsidRPr="002F279F">
        <w:rPr>
          <w:rFonts w:ascii="仿宋" w:eastAsia="仿宋" w:hAnsi="仿宋"/>
          <w:sz w:val="24"/>
          <w:szCs w:val="24"/>
        </w:rPr>
        <w:t>、财税合</w:t>
      </w:r>
      <w:proofErr w:type="gramStart"/>
      <w:r w:rsidRPr="002F279F">
        <w:rPr>
          <w:rFonts w:ascii="仿宋" w:eastAsia="仿宋" w:hAnsi="仿宋"/>
          <w:sz w:val="24"/>
          <w:szCs w:val="24"/>
        </w:rPr>
        <w:t>规</w:t>
      </w:r>
      <w:proofErr w:type="gramEnd"/>
      <w:r w:rsidRPr="002F279F">
        <w:rPr>
          <w:rFonts w:ascii="仿宋" w:eastAsia="仿宋" w:hAnsi="仿宋"/>
          <w:sz w:val="24"/>
          <w:szCs w:val="24"/>
        </w:rPr>
        <w:t>是重点强调事项之一。</w:t>
      </w:r>
    </w:p>
    <w:p w14:paraId="4FA679FF" w14:textId="20013C2A" w:rsidR="002F279F" w:rsidRPr="002F279F" w:rsidRDefault="002F279F" w:rsidP="002F279F">
      <w:pPr>
        <w:ind w:firstLineChars="200" w:firstLine="480"/>
        <w:rPr>
          <w:rFonts w:ascii="仿宋" w:eastAsia="仿宋" w:hAnsi="仿宋" w:hint="eastAsia"/>
          <w:sz w:val="24"/>
          <w:szCs w:val="24"/>
        </w:rPr>
      </w:pPr>
      <w:r w:rsidRPr="002F279F">
        <w:rPr>
          <w:rFonts w:ascii="仿宋" w:eastAsia="仿宋" w:hAnsi="仿宋"/>
          <w:sz w:val="24"/>
          <w:szCs w:val="24"/>
        </w:rPr>
        <w:t>《民营经济促进法》第五章“规范经营”第四十条：“民营经济组织应当依照法律、行政法规和国家统一的会计制度，加强财务管理，规范会计核算，防止财务造假，并区分民营经济组织生产经营收支与民营经济组织经营者个人收支，实现民营经济组织财产与民营经济组织经营者个人财产分离。”强调了民营经济组织财税合</w:t>
      </w:r>
      <w:proofErr w:type="gramStart"/>
      <w:r w:rsidRPr="002F279F">
        <w:rPr>
          <w:rFonts w:ascii="仿宋" w:eastAsia="仿宋" w:hAnsi="仿宋"/>
          <w:sz w:val="24"/>
          <w:szCs w:val="24"/>
        </w:rPr>
        <w:t>规</w:t>
      </w:r>
      <w:proofErr w:type="gramEnd"/>
      <w:r w:rsidRPr="002F279F">
        <w:rPr>
          <w:rFonts w:ascii="仿宋" w:eastAsia="仿宋" w:hAnsi="仿宋"/>
          <w:sz w:val="24"/>
          <w:szCs w:val="24"/>
        </w:rPr>
        <w:t>的重点便是民营经济组织及其经营者个人的账户、收支、财产分离制度。</w:t>
      </w:r>
    </w:p>
    <w:p w14:paraId="4A43BD6A" w14:textId="1185DA48" w:rsidR="002F279F" w:rsidRPr="002F279F" w:rsidRDefault="002F279F" w:rsidP="002F279F">
      <w:pPr>
        <w:ind w:firstLineChars="200" w:firstLine="480"/>
        <w:rPr>
          <w:rFonts w:ascii="仿宋" w:eastAsia="仿宋" w:hAnsi="仿宋" w:hint="eastAsia"/>
          <w:sz w:val="24"/>
          <w:szCs w:val="24"/>
        </w:rPr>
      </w:pPr>
      <w:r w:rsidRPr="002F279F">
        <w:rPr>
          <w:rFonts w:ascii="仿宋" w:eastAsia="仿宋" w:hAnsi="仿宋"/>
          <w:sz w:val="24"/>
          <w:szCs w:val="24"/>
        </w:rPr>
        <w:t>在企业的日常经营活动中，个人与公司的金融账户之间的资金往来现象较为普遍。部分企业由于财务管理与税务管理制度不完善、合</w:t>
      </w:r>
      <w:proofErr w:type="gramStart"/>
      <w:r w:rsidRPr="002F279F">
        <w:rPr>
          <w:rFonts w:ascii="仿宋" w:eastAsia="仿宋" w:hAnsi="仿宋"/>
          <w:sz w:val="24"/>
          <w:szCs w:val="24"/>
        </w:rPr>
        <w:t>规</w:t>
      </w:r>
      <w:proofErr w:type="gramEnd"/>
      <w:r w:rsidRPr="002F279F">
        <w:rPr>
          <w:rFonts w:ascii="仿宋" w:eastAsia="仿宋" w:hAnsi="仿宋"/>
          <w:sz w:val="24"/>
          <w:szCs w:val="24"/>
        </w:rPr>
        <w:t>意识淡薄等原因，存在公私账户混用的情况。这种行为不仅可能导致企业财务核算混乱，无法合理规划成本，还会导致违背实质经营原则，引发反洗</w:t>
      </w:r>
      <w:proofErr w:type="gramStart"/>
      <w:r w:rsidRPr="002F279F">
        <w:rPr>
          <w:rFonts w:ascii="仿宋" w:eastAsia="仿宋" w:hAnsi="仿宋"/>
          <w:sz w:val="24"/>
          <w:szCs w:val="24"/>
        </w:rPr>
        <w:t>钱调查</w:t>
      </w:r>
      <w:proofErr w:type="gramEnd"/>
      <w:r w:rsidRPr="002F279F">
        <w:rPr>
          <w:rFonts w:ascii="仿宋" w:eastAsia="仿宋" w:hAnsi="仿宋"/>
          <w:sz w:val="24"/>
          <w:szCs w:val="24"/>
        </w:rPr>
        <w:t>以及被认定为存在虚开发票的风险。</w:t>
      </w:r>
    </w:p>
    <w:p w14:paraId="23C65A2F" w14:textId="77777777" w:rsidR="002F279F" w:rsidRPr="002F279F" w:rsidRDefault="002F279F" w:rsidP="002F279F">
      <w:pPr>
        <w:ind w:firstLineChars="200" w:firstLine="480"/>
        <w:rPr>
          <w:rFonts w:ascii="仿宋" w:eastAsia="仿宋" w:hAnsi="仿宋"/>
          <w:sz w:val="24"/>
          <w:szCs w:val="24"/>
        </w:rPr>
      </w:pPr>
      <w:r w:rsidRPr="002F279F">
        <w:rPr>
          <w:rFonts w:ascii="仿宋" w:eastAsia="仿宋" w:hAnsi="仿宋"/>
          <w:sz w:val="24"/>
          <w:szCs w:val="24"/>
        </w:rPr>
        <w:t>随着金税四期系统的全面上线以及反洗钱监控体系的日益完善，税务监管力度不断加强，对企业的资金管理提出了更严格的要求。规范个人账户与公司账户的资金往来与合</w:t>
      </w:r>
      <w:proofErr w:type="gramStart"/>
      <w:r w:rsidRPr="002F279F">
        <w:rPr>
          <w:rFonts w:ascii="仿宋" w:eastAsia="仿宋" w:hAnsi="仿宋"/>
          <w:sz w:val="24"/>
          <w:szCs w:val="24"/>
        </w:rPr>
        <w:t>规</w:t>
      </w:r>
      <w:proofErr w:type="gramEnd"/>
      <w:r w:rsidRPr="002F279F">
        <w:rPr>
          <w:rFonts w:ascii="仿宋" w:eastAsia="仿宋" w:hAnsi="仿宋"/>
          <w:sz w:val="24"/>
          <w:szCs w:val="24"/>
        </w:rPr>
        <w:t>使用，实现两者的平衡，对于企业的合</w:t>
      </w:r>
      <w:proofErr w:type="gramStart"/>
      <w:r w:rsidRPr="002F279F">
        <w:rPr>
          <w:rFonts w:ascii="仿宋" w:eastAsia="仿宋" w:hAnsi="仿宋"/>
          <w:sz w:val="24"/>
          <w:szCs w:val="24"/>
        </w:rPr>
        <w:t>规</w:t>
      </w:r>
      <w:proofErr w:type="gramEnd"/>
      <w:r w:rsidRPr="002F279F">
        <w:rPr>
          <w:rFonts w:ascii="仿宋" w:eastAsia="仿宋" w:hAnsi="仿宋"/>
          <w:sz w:val="24"/>
          <w:szCs w:val="24"/>
        </w:rPr>
        <w:t>经营、风险防控以及可持续发展具有至关重要的意义。维护良好的税务信用，保障企业的财务安全，才能为企业的健康发展奠定坚实的基础。</w:t>
      </w:r>
    </w:p>
    <w:p w14:paraId="0B7E8C47" w14:textId="5713B9AC" w:rsidR="002F279F" w:rsidRPr="002F279F" w:rsidRDefault="002F279F" w:rsidP="002F279F">
      <w:pPr>
        <w:rPr>
          <w:rFonts w:ascii="仿宋" w:eastAsia="仿宋" w:hAnsi="仿宋"/>
          <w:sz w:val="24"/>
          <w:szCs w:val="24"/>
        </w:rPr>
      </w:pPr>
    </w:p>
    <w:p w14:paraId="512B1020" w14:textId="2AC6DA32" w:rsidR="002F279F" w:rsidRPr="002F279F" w:rsidRDefault="002F279F" w:rsidP="002F279F">
      <w:pPr>
        <w:rPr>
          <w:rFonts w:ascii="仿宋" w:eastAsia="仿宋" w:hAnsi="仿宋"/>
          <w:sz w:val="24"/>
          <w:szCs w:val="24"/>
        </w:rPr>
      </w:pPr>
      <w:r w:rsidRPr="002F279F">
        <w:rPr>
          <w:rFonts w:ascii="仿宋" w:eastAsia="仿宋" w:hAnsi="仿宋"/>
          <w:b/>
          <w:bCs/>
          <w:sz w:val="24"/>
          <w:szCs w:val="24"/>
        </w:rPr>
        <w:t>二、理论基础：金融账户合</w:t>
      </w:r>
      <w:proofErr w:type="gramStart"/>
      <w:r w:rsidRPr="002F279F">
        <w:rPr>
          <w:rFonts w:ascii="仿宋" w:eastAsia="仿宋" w:hAnsi="仿宋"/>
          <w:b/>
          <w:bCs/>
          <w:sz w:val="24"/>
          <w:szCs w:val="24"/>
        </w:rPr>
        <w:t>规</w:t>
      </w:r>
      <w:proofErr w:type="gramEnd"/>
      <w:r w:rsidRPr="002F279F">
        <w:rPr>
          <w:rFonts w:ascii="仿宋" w:eastAsia="仿宋" w:hAnsi="仿宋"/>
          <w:b/>
          <w:bCs/>
          <w:sz w:val="24"/>
          <w:szCs w:val="24"/>
        </w:rPr>
        <w:t>使用的法律依据</w:t>
      </w:r>
      <w:r w:rsidRPr="002F279F">
        <w:rPr>
          <w:rFonts w:ascii="仿宋" w:eastAsia="仿宋" w:hAnsi="仿宋"/>
          <w:sz w:val="24"/>
          <w:szCs w:val="24"/>
        </w:rPr>
        <w:br/>
      </w:r>
    </w:p>
    <w:p w14:paraId="066E3358" w14:textId="29AD7A6B" w:rsidR="002F279F" w:rsidRPr="002F279F" w:rsidRDefault="002F279F" w:rsidP="002F279F">
      <w:pPr>
        <w:ind w:firstLineChars="200" w:firstLine="480"/>
        <w:rPr>
          <w:rFonts w:ascii="仿宋" w:eastAsia="仿宋" w:hAnsi="仿宋"/>
          <w:sz w:val="24"/>
          <w:szCs w:val="24"/>
        </w:rPr>
      </w:pPr>
      <w:r w:rsidRPr="002F279F">
        <w:rPr>
          <w:rFonts w:ascii="仿宋" w:eastAsia="仿宋" w:hAnsi="仿宋"/>
          <w:sz w:val="24"/>
          <w:szCs w:val="24"/>
        </w:rPr>
        <w:t>个人与公司的金融账户之间能否维系平衡对于企业和个人的财务管理与业务经营至关重要。维系这种平衡不仅涉及企业的合</w:t>
      </w:r>
      <w:proofErr w:type="gramStart"/>
      <w:r w:rsidRPr="002F279F">
        <w:rPr>
          <w:rFonts w:ascii="仿宋" w:eastAsia="仿宋" w:hAnsi="仿宋"/>
          <w:sz w:val="24"/>
          <w:szCs w:val="24"/>
        </w:rPr>
        <w:t>规</w:t>
      </w:r>
      <w:proofErr w:type="gramEnd"/>
      <w:r w:rsidRPr="002F279F">
        <w:rPr>
          <w:rFonts w:ascii="仿宋" w:eastAsia="仿宋" w:hAnsi="仿宋"/>
          <w:sz w:val="24"/>
          <w:szCs w:val="24"/>
        </w:rPr>
        <w:t>经营，还与税收、法律风险</w:t>
      </w:r>
      <w:r w:rsidRPr="002F279F">
        <w:rPr>
          <w:rFonts w:ascii="仿宋" w:eastAsia="仿宋" w:hAnsi="仿宋"/>
          <w:sz w:val="24"/>
          <w:szCs w:val="24"/>
        </w:rPr>
        <w:lastRenderedPageBreak/>
        <w:t>等关系密切。</w:t>
      </w:r>
      <w:r w:rsidRPr="002F279F">
        <w:rPr>
          <w:rFonts w:ascii="仿宋" w:eastAsia="仿宋" w:hAnsi="仿宋"/>
          <w:sz w:val="24"/>
          <w:szCs w:val="24"/>
        </w:rPr>
        <w:br/>
      </w:r>
    </w:p>
    <w:p w14:paraId="3FE02F09" w14:textId="7F3E34EE" w:rsidR="002F279F" w:rsidRPr="002F279F" w:rsidRDefault="002F279F" w:rsidP="002F279F">
      <w:pPr>
        <w:rPr>
          <w:rFonts w:ascii="仿宋" w:eastAsia="仿宋" w:hAnsi="仿宋"/>
          <w:sz w:val="24"/>
          <w:szCs w:val="24"/>
        </w:rPr>
      </w:pPr>
      <w:r w:rsidRPr="002F279F">
        <w:rPr>
          <w:rFonts w:ascii="仿宋" w:eastAsia="仿宋" w:hAnsi="仿宋"/>
          <w:b/>
          <w:bCs/>
          <w:sz w:val="24"/>
          <w:szCs w:val="24"/>
        </w:rPr>
        <w:t>（一）国内法规</w:t>
      </w:r>
      <w:r w:rsidRPr="002F279F">
        <w:rPr>
          <w:rFonts w:ascii="仿宋" w:eastAsia="仿宋" w:hAnsi="仿宋"/>
          <w:b/>
          <w:bCs/>
          <w:sz w:val="24"/>
          <w:szCs w:val="24"/>
        </w:rPr>
        <w:br/>
      </w:r>
    </w:p>
    <w:p w14:paraId="451BF680" w14:textId="10819B67" w:rsidR="002F279F" w:rsidRPr="002F279F" w:rsidRDefault="002F279F" w:rsidP="002F279F">
      <w:pPr>
        <w:rPr>
          <w:rFonts w:ascii="仿宋" w:eastAsia="仿宋" w:hAnsi="仿宋"/>
          <w:sz w:val="24"/>
          <w:szCs w:val="24"/>
        </w:rPr>
      </w:pPr>
      <w:r w:rsidRPr="002F279F">
        <w:rPr>
          <w:rFonts w:ascii="仿宋" w:eastAsia="仿宋" w:hAnsi="仿宋"/>
          <w:b/>
          <w:bCs/>
          <w:sz w:val="24"/>
          <w:szCs w:val="24"/>
        </w:rPr>
        <w:t>1.公司法方面</w:t>
      </w:r>
      <w:r w:rsidRPr="002F279F">
        <w:rPr>
          <w:rFonts w:ascii="仿宋" w:eastAsia="仿宋" w:hAnsi="仿宋"/>
          <w:sz w:val="24"/>
          <w:szCs w:val="24"/>
        </w:rPr>
        <w:br/>
      </w:r>
    </w:p>
    <w:p w14:paraId="27AA32D9" w14:textId="6F7C43A2" w:rsidR="002F279F" w:rsidRPr="002F279F" w:rsidRDefault="002F279F" w:rsidP="002F279F">
      <w:pPr>
        <w:ind w:firstLineChars="200" w:firstLine="480"/>
        <w:rPr>
          <w:rFonts w:ascii="仿宋" w:eastAsia="仿宋" w:hAnsi="仿宋" w:hint="eastAsia"/>
          <w:sz w:val="24"/>
          <w:szCs w:val="24"/>
        </w:rPr>
      </w:pPr>
      <w:r w:rsidRPr="002F279F">
        <w:rPr>
          <w:rFonts w:ascii="仿宋" w:eastAsia="仿宋" w:hAnsi="仿宋"/>
          <w:sz w:val="24"/>
          <w:szCs w:val="24"/>
        </w:rPr>
        <w:t>《中华人民共和国公司法》第二十三条规定，当法人人格混同时公司股东应当对公司债务承担连带责任。参考《全国法院民商事审判工作会议纪要》（简称《九民纪要》）第十条的规定可知，认定公司人格混同的最主要的表现是财产是否混同且无法区分，其中一个重要的参考因素是公司和股东的账簿、财产资金是否区分。</w:t>
      </w:r>
    </w:p>
    <w:p w14:paraId="4FC5044B" w14:textId="0D3B8149" w:rsidR="002F279F" w:rsidRPr="002F279F" w:rsidRDefault="002F279F" w:rsidP="002F279F">
      <w:pPr>
        <w:ind w:firstLineChars="200" w:firstLine="480"/>
        <w:rPr>
          <w:rFonts w:ascii="仿宋" w:eastAsia="仿宋" w:hAnsi="仿宋"/>
          <w:sz w:val="24"/>
          <w:szCs w:val="24"/>
        </w:rPr>
      </w:pPr>
      <w:r w:rsidRPr="002F279F">
        <w:rPr>
          <w:rFonts w:ascii="仿宋" w:eastAsia="仿宋" w:hAnsi="仿宋"/>
          <w:sz w:val="24"/>
          <w:szCs w:val="24"/>
        </w:rPr>
        <w:t>当公司财产与股东个人财产无法清晰区分，导致公司缺乏独立财产基础时，很可能会被认定为法人人格混同，股东将对公司的债务承担连带责任。这种制度和规定要求企业必须建立起独立的财产账户体系，确保公司财产与个人财产相互分离。</w:t>
      </w:r>
      <w:r w:rsidRPr="002F279F">
        <w:rPr>
          <w:rFonts w:ascii="仿宋" w:eastAsia="仿宋" w:hAnsi="仿宋"/>
          <w:sz w:val="24"/>
          <w:szCs w:val="24"/>
        </w:rPr>
        <w:br/>
      </w:r>
    </w:p>
    <w:p w14:paraId="1A514079" w14:textId="3EDB827F" w:rsidR="002F279F" w:rsidRPr="002F279F" w:rsidRDefault="002F279F" w:rsidP="002F279F">
      <w:pPr>
        <w:rPr>
          <w:rFonts w:ascii="仿宋" w:eastAsia="仿宋" w:hAnsi="仿宋"/>
          <w:sz w:val="24"/>
          <w:szCs w:val="24"/>
        </w:rPr>
      </w:pPr>
      <w:r w:rsidRPr="002F279F">
        <w:rPr>
          <w:rFonts w:ascii="仿宋" w:eastAsia="仿宋" w:hAnsi="仿宋"/>
          <w:b/>
          <w:bCs/>
          <w:sz w:val="24"/>
          <w:szCs w:val="24"/>
        </w:rPr>
        <w:t>2.税法方面</w:t>
      </w:r>
      <w:r w:rsidRPr="002F279F">
        <w:rPr>
          <w:rFonts w:ascii="仿宋" w:eastAsia="仿宋" w:hAnsi="仿宋"/>
          <w:sz w:val="24"/>
          <w:szCs w:val="24"/>
        </w:rPr>
        <w:br/>
      </w:r>
    </w:p>
    <w:p w14:paraId="72416F3B" w14:textId="152A5DE8" w:rsidR="002F279F" w:rsidRPr="002F279F" w:rsidRDefault="002F279F" w:rsidP="002F279F">
      <w:pPr>
        <w:ind w:firstLineChars="200" w:firstLine="480"/>
        <w:rPr>
          <w:rFonts w:ascii="仿宋" w:eastAsia="仿宋" w:hAnsi="仿宋"/>
          <w:sz w:val="24"/>
          <w:szCs w:val="24"/>
        </w:rPr>
      </w:pPr>
      <w:r w:rsidRPr="002F279F">
        <w:rPr>
          <w:rFonts w:ascii="仿宋" w:eastAsia="仿宋" w:hAnsi="仿宋"/>
          <w:sz w:val="24"/>
          <w:szCs w:val="24"/>
        </w:rPr>
        <w:t>在《中华人民共和国企业所得税法》对资金往来的认定标准中，例如：关联交易、视同分红等均有明确企业在资金运作过程中涉及的税务处理原则。以关联交易为例，在处理时需要按照公平交易原则进行定价，否则有较大风险被税务机关处罚。《中华人民共和国企业所得税法》第四十一条规定，企业与其关联方之间的业务往来，不符合独立交易原则并且企业或关联方的应纳税收入或者所得</w:t>
      </w:r>
      <w:proofErr w:type="gramStart"/>
      <w:r w:rsidRPr="002F279F">
        <w:rPr>
          <w:rFonts w:ascii="仿宋" w:eastAsia="仿宋" w:hAnsi="仿宋"/>
          <w:sz w:val="24"/>
          <w:szCs w:val="24"/>
        </w:rPr>
        <w:t>额因此</w:t>
      </w:r>
      <w:proofErr w:type="gramEnd"/>
      <w:r w:rsidRPr="002F279F">
        <w:rPr>
          <w:rFonts w:ascii="仿宋" w:eastAsia="仿宋" w:hAnsi="仿宋"/>
          <w:sz w:val="24"/>
          <w:szCs w:val="24"/>
        </w:rPr>
        <w:t>减少了的，税务机关有权按照合理的方式对其进行纳税调整。这为税务机关对企业资金运作的监管提供了明确的法律依据，促使企业规范内部资金往来。</w:t>
      </w:r>
    </w:p>
    <w:p w14:paraId="0323DA0E" w14:textId="15613CA4" w:rsidR="002F279F" w:rsidRPr="002F279F" w:rsidRDefault="002F279F" w:rsidP="002F279F">
      <w:pPr>
        <w:ind w:firstLineChars="200" w:firstLine="480"/>
        <w:rPr>
          <w:rFonts w:ascii="仿宋" w:eastAsia="仿宋" w:hAnsi="仿宋"/>
          <w:sz w:val="24"/>
          <w:szCs w:val="24"/>
        </w:rPr>
      </w:pPr>
      <w:r w:rsidRPr="002F279F">
        <w:rPr>
          <w:rFonts w:ascii="仿宋" w:eastAsia="仿宋" w:hAnsi="仿宋"/>
          <w:sz w:val="24"/>
          <w:szCs w:val="24"/>
        </w:rPr>
        <w:t>个人所得税中同样有关于个人与公司之间发生</w:t>
      </w:r>
      <w:proofErr w:type="gramStart"/>
      <w:r w:rsidRPr="002F279F">
        <w:rPr>
          <w:rFonts w:ascii="仿宋" w:eastAsia="仿宋" w:hAnsi="仿宋"/>
          <w:sz w:val="24"/>
          <w:szCs w:val="24"/>
        </w:rPr>
        <w:t>特定资金</w:t>
      </w:r>
      <w:proofErr w:type="gramEnd"/>
      <w:r w:rsidRPr="002F279F">
        <w:rPr>
          <w:rFonts w:ascii="仿宋" w:eastAsia="仿宋" w:hAnsi="仿宋"/>
          <w:sz w:val="24"/>
          <w:szCs w:val="24"/>
        </w:rPr>
        <w:t>往来的税务处理规定。关于股东借款、无偿借贷的情况，法律明确规定了股东从企业借款超过一定期限未归还的，或者企业向股东无偿提供借贷资金的，可能被视为股东的个人所得，需缴纳个人所得税。这类规定旨在防止股东利用个人账户与企业账户的资金往来逃避税收，以此保障国家税收收入。</w:t>
      </w:r>
      <w:r w:rsidRPr="002F279F">
        <w:rPr>
          <w:rFonts w:ascii="仿宋" w:eastAsia="仿宋" w:hAnsi="仿宋"/>
          <w:sz w:val="24"/>
          <w:szCs w:val="24"/>
        </w:rPr>
        <w:br/>
      </w:r>
    </w:p>
    <w:p w14:paraId="36F10B57" w14:textId="4E600B43" w:rsidR="002F279F" w:rsidRPr="002F279F" w:rsidRDefault="002F279F" w:rsidP="002F279F">
      <w:pPr>
        <w:rPr>
          <w:rFonts w:ascii="仿宋" w:eastAsia="仿宋" w:hAnsi="仿宋"/>
          <w:sz w:val="24"/>
          <w:szCs w:val="24"/>
        </w:rPr>
      </w:pPr>
      <w:r w:rsidRPr="002F279F">
        <w:rPr>
          <w:rFonts w:ascii="仿宋" w:eastAsia="仿宋" w:hAnsi="仿宋"/>
          <w:b/>
          <w:bCs/>
          <w:sz w:val="24"/>
          <w:szCs w:val="24"/>
        </w:rPr>
        <w:t>3.反洗钱法方面</w:t>
      </w:r>
      <w:r w:rsidRPr="002F279F">
        <w:rPr>
          <w:rFonts w:ascii="仿宋" w:eastAsia="仿宋" w:hAnsi="仿宋"/>
          <w:sz w:val="24"/>
          <w:szCs w:val="24"/>
        </w:rPr>
        <w:br/>
      </w:r>
    </w:p>
    <w:p w14:paraId="584CE464" w14:textId="77777777" w:rsidR="002F279F" w:rsidRPr="002F279F" w:rsidRDefault="002F279F" w:rsidP="002F279F">
      <w:pPr>
        <w:ind w:firstLineChars="200" w:firstLine="480"/>
        <w:rPr>
          <w:rFonts w:ascii="仿宋" w:eastAsia="仿宋" w:hAnsi="仿宋"/>
          <w:sz w:val="24"/>
          <w:szCs w:val="24"/>
        </w:rPr>
      </w:pPr>
      <w:r w:rsidRPr="002F279F">
        <w:rPr>
          <w:rFonts w:ascii="仿宋" w:eastAsia="仿宋" w:hAnsi="仿宋"/>
          <w:sz w:val="24"/>
          <w:szCs w:val="24"/>
        </w:rPr>
        <w:t>此外，新修订的《中华人民共和国反洗钱法》更是加大了对公转私大额交易的监管力度，规定了金融机构应当具有对大额资金交易的报告义务和实施监控措施。根据规定，企业</w:t>
      </w:r>
      <w:proofErr w:type="gramStart"/>
      <w:r w:rsidRPr="002F279F">
        <w:rPr>
          <w:rFonts w:ascii="仿宋" w:eastAsia="仿宋" w:hAnsi="仿宋"/>
          <w:sz w:val="24"/>
          <w:szCs w:val="24"/>
        </w:rPr>
        <w:t>通过公户向</w:t>
      </w:r>
      <w:proofErr w:type="gramEnd"/>
      <w:r w:rsidRPr="002F279F">
        <w:rPr>
          <w:rFonts w:ascii="仿宋" w:eastAsia="仿宋" w:hAnsi="仿宋"/>
          <w:sz w:val="24"/>
          <w:szCs w:val="24"/>
        </w:rPr>
        <w:t>私人账户进行大额转账时，公司必须有真实的交易背景，即遵循实质经营理论，否则可能被认定为洗钱行为，进而面临严峻的法律责任。</w:t>
      </w:r>
    </w:p>
    <w:p w14:paraId="18E2BDBA" w14:textId="77777777" w:rsidR="002F279F" w:rsidRPr="002F279F" w:rsidRDefault="002F279F" w:rsidP="002F279F">
      <w:pPr>
        <w:rPr>
          <w:rFonts w:ascii="仿宋" w:eastAsia="仿宋" w:hAnsi="仿宋"/>
          <w:sz w:val="24"/>
          <w:szCs w:val="24"/>
        </w:rPr>
      </w:pPr>
      <w:r w:rsidRPr="002F279F">
        <w:rPr>
          <w:rFonts w:ascii="仿宋" w:eastAsia="仿宋" w:hAnsi="仿宋"/>
          <w:sz w:val="24"/>
          <w:szCs w:val="24"/>
        </w:rPr>
        <w:br/>
      </w:r>
    </w:p>
    <w:p w14:paraId="724CDD19" w14:textId="559CDF35" w:rsidR="002F279F" w:rsidRPr="002F279F" w:rsidRDefault="002F279F" w:rsidP="002F279F">
      <w:pPr>
        <w:rPr>
          <w:rFonts w:ascii="仿宋" w:eastAsia="仿宋" w:hAnsi="仿宋"/>
          <w:sz w:val="24"/>
          <w:szCs w:val="24"/>
        </w:rPr>
      </w:pPr>
      <w:r w:rsidRPr="002F279F">
        <w:rPr>
          <w:rFonts w:ascii="仿宋" w:eastAsia="仿宋" w:hAnsi="仿宋"/>
          <w:b/>
          <w:bCs/>
          <w:sz w:val="24"/>
          <w:szCs w:val="24"/>
        </w:rPr>
        <w:t>（二）国际规则</w:t>
      </w:r>
      <w:r w:rsidRPr="002F279F">
        <w:rPr>
          <w:rFonts w:ascii="仿宋" w:eastAsia="仿宋" w:hAnsi="仿宋"/>
          <w:sz w:val="24"/>
          <w:szCs w:val="24"/>
        </w:rPr>
        <w:br/>
      </w:r>
    </w:p>
    <w:p w14:paraId="48B41C30" w14:textId="7E2BD43C" w:rsidR="002F279F" w:rsidRPr="002F279F" w:rsidRDefault="002F279F" w:rsidP="002F279F">
      <w:pPr>
        <w:rPr>
          <w:rFonts w:ascii="仿宋" w:eastAsia="仿宋" w:hAnsi="仿宋"/>
          <w:sz w:val="24"/>
          <w:szCs w:val="24"/>
        </w:rPr>
      </w:pPr>
      <w:r w:rsidRPr="002F279F">
        <w:rPr>
          <w:rFonts w:ascii="仿宋" w:eastAsia="仿宋" w:hAnsi="仿宋"/>
          <w:b/>
          <w:bCs/>
          <w:sz w:val="24"/>
          <w:szCs w:val="24"/>
        </w:rPr>
        <w:t>1.国际税收规则</w:t>
      </w:r>
      <w:r w:rsidRPr="002F279F">
        <w:rPr>
          <w:rFonts w:ascii="仿宋" w:eastAsia="仿宋" w:hAnsi="仿宋"/>
          <w:sz w:val="24"/>
          <w:szCs w:val="24"/>
        </w:rPr>
        <w:br/>
      </w:r>
    </w:p>
    <w:p w14:paraId="5AFDE8A6" w14:textId="7279F5C8" w:rsidR="002F279F" w:rsidRPr="002F279F" w:rsidRDefault="002F279F" w:rsidP="002F279F">
      <w:pPr>
        <w:ind w:firstLineChars="200" w:firstLine="480"/>
        <w:rPr>
          <w:rFonts w:ascii="仿宋" w:eastAsia="仿宋" w:hAnsi="仿宋"/>
          <w:sz w:val="24"/>
          <w:szCs w:val="24"/>
        </w:rPr>
      </w:pPr>
      <w:r w:rsidRPr="002F279F">
        <w:rPr>
          <w:rFonts w:ascii="仿宋" w:eastAsia="仿宋" w:hAnsi="仿宋"/>
          <w:sz w:val="24"/>
          <w:szCs w:val="24"/>
        </w:rPr>
        <w:lastRenderedPageBreak/>
        <w:t>在国际税收规则中，如BEPS行动计划对跨境关联交易和利润分配做出了严格的约束，旨在避免税基侵蚀与利润转移。随着国际交易日渐加深，跨境交易日趋频繁，企业在跨境交易中应当遵循合理的利润分配原则，防止通过转移定价等方式逃避税收，确保各国的税收权益。</w:t>
      </w:r>
      <w:r w:rsidRPr="002F279F">
        <w:rPr>
          <w:rFonts w:ascii="仿宋" w:eastAsia="仿宋" w:hAnsi="仿宋"/>
          <w:sz w:val="24"/>
          <w:szCs w:val="24"/>
        </w:rPr>
        <w:br/>
      </w:r>
    </w:p>
    <w:p w14:paraId="0F763213" w14:textId="4BD700C0" w:rsidR="002F279F" w:rsidRPr="002F279F" w:rsidRDefault="002F279F" w:rsidP="002F279F">
      <w:pPr>
        <w:rPr>
          <w:rFonts w:ascii="仿宋" w:eastAsia="仿宋" w:hAnsi="仿宋"/>
          <w:sz w:val="24"/>
          <w:szCs w:val="24"/>
        </w:rPr>
      </w:pPr>
      <w:r w:rsidRPr="002F279F">
        <w:rPr>
          <w:rFonts w:ascii="仿宋" w:eastAsia="仿宋" w:hAnsi="仿宋"/>
          <w:b/>
          <w:bCs/>
          <w:sz w:val="24"/>
          <w:szCs w:val="24"/>
        </w:rPr>
        <w:t>2.国际反避税条款</w:t>
      </w:r>
      <w:r w:rsidRPr="002F279F">
        <w:rPr>
          <w:rFonts w:ascii="仿宋" w:eastAsia="仿宋" w:hAnsi="仿宋"/>
          <w:b/>
          <w:bCs/>
          <w:sz w:val="24"/>
          <w:szCs w:val="24"/>
        </w:rPr>
        <w:br/>
      </w:r>
    </w:p>
    <w:p w14:paraId="7218663A" w14:textId="1244B2C6" w:rsidR="002F279F" w:rsidRPr="002F279F" w:rsidRDefault="002F279F" w:rsidP="002F279F">
      <w:pPr>
        <w:ind w:firstLineChars="200" w:firstLine="480"/>
        <w:rPr>
          <w:rFonts w:ascii="仿宋" w:eastAsia="仿宋" w:hAnsi="仿宋"/>
          <w:sz w:val="24"/>
          <w:szCs w:val="24"/>
        </w:rPr>
      </w:pPr>
      <w:r w:rsidRPr="002F279F">
        <w:rPr>
          <w:rFonts w:ascii="仿宋" w:eastAsia="仿宋" w:hAnsi="仿宋"/>
          <w:sz w:val="24"/>
          <w:szCs w:val="24"/>
        </w:rPr>
        <w:t>在国际反避税条款中，如《金融账户涉税信息自动交换多边主管当局间协议》（CRS）、BEPS行动计划等：CRS已在全球范围内广泛实施，各国通过该协议自动交换金融账户涉税信息，极大地提高了跨境资金流动的透明度。受控外国企业（CFC）规则是许多国家应对跨国企业利润转移的重要工具，通过规定企业需对其控制的低税率外国子公司的未分配利润纳税，防止企业通过将利润滞留海外来逃避税收。在信息高度透明化的监管下，企业在进行跨境投资和资金运作时，必须遵守相关条款规定，避免因国际税收规则的变化而带来的税务风险。</w:t>
      </w:r>
      <w:r w:rsidRPr="002F279F">
        <w:rPr>
          <w:rFonts w:ascii="仿宋" w:eastAsia="仿宋" w:hAnsi="仿宋"/>
          <w:sz w:val="24"/>
          <w:szCs w:val="24"/>
        </w:rPr>
        <w:br/>
      </w:r>
    </w:p>
    <w:p w14:paraId="5D024EC2" w14:textId="708B146B" w:rsidR="002F279F" w:rsidRPr="002F279F" w:rsidRDefault="002F279F" w:rsidP="002F279F">
      <w:pPr>
        <w:rPr>
          <w:rFonts w:ascii="仿宋" w:eastAsia="仿宋" w:hAnsi="仿宋"/>
          <w:sz w:val="24"/>
          <w:szCs w:val="24"/>
        </w:rPr>
      </w:pPr>
      <w:r w:rsidRPr="002F279F">
        <w:rPr>
          <w:rFonts w:ascii="仿宋" w:eastAsia="仿宋" w:hAnsi="仿宋"/>
          <w:b/>
          <w:bCs/>
          <w:sz w:val="24"/>
          <w:szCs w:val="24"/>
        </w:rPr>
        <w:t>3.外汇管理法规</w:t>
      </w:r>
      <w:r w:rsidRPr="002F279F">
        <w:rPr>
          <w:rFonts w:ascii="仿宋" w:eastAsia="仿宋" w:hAnsi="仿宋"/>
          <w:sz w:val="24"/>
          <w:szCs w:val="24"/>
        </w:rPr>
        <w:br/>
      </w:r>
    </w:p>
    <w:p w14:paraId="2158F13A" w14:textId="229B3972" w:rsidR="002F279F" w:rsidRPr="002F279F" w:rsidRDefault="002F279F" w:rsidP="002F279F">
      <w:pPr>
        <w:ind w:firstLineChars="200" w:firstLine="480"/>
        <w:rPr>
          <w:rFonts w:ascii="仿宋" w:eastAsia="仿宋" w:hAnsi="仿宋"/>
          <w:sz w:val="24"/>
          <w:szCs w:val="24"/>
        </w:rPr>
      </w:pPr>
      <w:r w:rsidRPr="002F279F">
        <w:rPr>
          <w:rFonts w:ascii="仿宋" w:eastAsia="仿宋" w:hAnsi="仿宋"/>
          <w:sz w:val="24"/>
          <w:szCs w:val="24"/>
        </w:rPr>
        <w:t>《中华人民共和国外汇管理条例》是中国对跨境资金管理的重要法律之一，其中跨境资金流动的申报与审批要求，禁止通过个人账户进行无贸易背景的跨境收付，严格遵循实质经营的准则，防止资金非法外流和跨境套现。</w:t>
      </w:r>
      <w:r w:rsidRPr="002F279F">
        <w:rPr>
          <w:rFonts w:ascii="仿宋" w:eastAsia="仿宋" w:hAnsi="仿宋"/>
          <w:sz w:val="24"/>
          <w:szCs w:val="24"/>
        </w:rPr>
        <w:br/>
      </w:r>
    </w:p>
    <w:p w14:paraId="47812E05" w14:textId="37F78589" w:rsidR="002F279F" w:rsidRPr="002F279F" w:rsidRDefault="002F279F" w:rsidP="002F279F">
      <w:pPr>
        <w:rPr>
          <w:rFonts w:ascii="仿宋" w:eastAsia="仿宋" w:hAnsi="仿宋"/>
          <w:sz w:val="24"/>
          <w:szCs w:val="24"/>
        </w:rPr>
      </w:pPr>
      <w:r w:rsidRPr="002F279F">
        <w:rPr>
          <w:rFonts w:ascii="仿宋" w:eastAsia="仿宋" w:hAnsi="仿宋"/>
          <w:b/>
          <w:bCs/>
          <w:sz w:val="24"/>
          <w:szCs w:val="24"/>
        </w:rPr>
        <w:t>三、风险图鉴：公私金融账户混同的高危场景</w:t>
      </w:r>
      <w:r w:rsidRPr="002F279F">
        <w:rPr>
          <w:rFonts w:ascii="仿宋" w:eastAsia="仿宋" w:hAnsi="仿宋"/>
          <w:sz w:val="24"/>
          <w:szCs w:val="24"/>
        </w:rPr>
        <w:br/>
      </w:r>
    </w:p>
    <w:p w14:paraId="4BA81540" w14:textId="2DCA984F" w:rsidR="002F279F" w:rsidRPr="002F279F" w:rsidRDefault="002F279F" w:rsidP="002F279F">
      <w:pPr>
        <w:rPr>
          <w:rFonts w:ascii="仿宋" w:eastAsia="仿宋" w:hAnsi="仿宋"/>
          <w:sz w:val="24"/>
          <w:szCs w:val="24"/>
        </w:rPr>
      </w:pPr>
      <w:r w:rsidRPr="002F279F">
        <w:rPr>
          <w:rFonts w:ascii="仿宋" w:eastAsia="仿宋" w:hAnsi="仿宋"/>
          <w:b/>
          <w:bCs/>
          <w:sz w:val="24"/>
          <w:szCs w:val="24"/>
        </w:rPr>
        <w:t>（一）股东借款长期未归还的视同分红风险</w:t>
      </w:r>
      <w:r w:rsidRPr="002F279F">
        <w:rPr>
          <w:rFonts w:ascii="仿宋" w:eastAsia="仿宋" w:hAnsi="仿宋"/>
          <w:b/>
          <w:bCs/>
          <w:sz w:val="24"/>
          <w:szCs w:val="24"/>
        </w:rPr>
        <w:br/>
      </w:r>
    </w:p>
    <w:p w14:paraId="7281F67D" w14:textId="0BB0C5BD" w:rsidR="002F279F" w:rsidRPr="002F279F" w:rsidRDefault="002F279F" w:rsidP="002F279F">
      <w:pPr>
        <w:ind w:firstLineChars="200" w:firstLine="480"/>
        <w:rPr>
          <w:rFonts w:ascii="仿宋" w:eastAsia="仿宋" w:hAnsi="仿宋"/>
          <w:sz w:val="24"/>
          <w:szCs w:val="24"/>
        </w:rPr>
      </w:pPr>
      <w:r w:rsidRPr="002F279F">
        <w:rPr>
          <w:rFonts w:ascii="仿宋" w:eastAsia="仿宋" w:hAnsi="仿宋"/>
          <w:sz w:val="24"/>
          <w:szCs w:val="24"/>
        </w:rPr>
        <w:t>依据《财政部国家税务总局关于规范个人投资者个人所得税征收管理的通知》（财税〔2003〕158号）的规定，在一个纳税年度内，个人投资者从其投资的企业借款，除个人独资企业和合伙企业外，若在纳税年度结束时既未归还借款，也未用于企业生产经营活动，</w:t>
      </w:r>
      <w:proofErr w:type="gramStart"/>
      <w:r w:rsidRPr="002F279F">
        <w:rPr>
          <w:rFonts w:ascii="仿宋" w:eastAsia="仿宋" w:hAnsi="仿宋"/>
          <w:sz w:val="24"/>
          <w:szCs w:val="24"/>
        </w:rPr>
        <w:t>该未归还</w:t>
      </w:r>
      <w:proofErr w:type="gramEnd"/>
      <w:r w:rsidRPr="002F279F">
        <w:rPr>
          <w:rFonts w:ascii="仿宋" w:eastAsia="仿宋" w:hAnsi="仿宋"/>
          <w:sz w:val="24"/>
          <w:szCs w:val="24"/>
        </w:rPr>
        <w:t>的借款将被视为企业对个人投资者的红利分配，并应按照“利息、股息、红利所得”项目征收个人所得税，并且若长期未缴纳税款，个人投资者还需承担滞纳金等额外费用。</w:t>
      </w:r>
    </w:p>
    <w:p w14:paraId="0CD99308" w14:textId="3BA5998A" w:rsidR="002F279F" w:rsidRPr="002F279F" w:rsidRDefault="002F279F" w:rsidP="002F279F">
      <w:pPr>
        <w:ind w:firstLineChars="200" w:firstLine="480"/>
        <w:rPr>
          <w:rFonts w:ascii="仿宋" w:eastAsia="仿宋" w:hAnsi="仿宋"/>
          <w:sz w:val="24"/>
          <w:szCs w:val="24"/>
        </w:rPr>
      </w:pPr>
      <w:r w:rsidRPr="002F279F">
        <w:rPr>
          <w:rFonts w:ascii="仿宋" w:eastAsia="仿宋" w:hAnsi="仿宋"/>
          <w:sz w:val="24"/>
          <w:szCs w:val="24"/>
        </w:rPr>
        <w:t>税务机关在对企业对股东出借款审查时会考虑借款是否与企业经营业务相关、借款金额是否超出股东出资额比例，以及借款期限是否合理等因素。若股东借款存在异常情况，例如频繁的大额借款、过长的借款期限、不明确的借款用途或与企业业务无关等，税务机关更可能将其视为视同分红，并进行严格的税务审查。</w:t>
      </w:r>
    </w:p>
    <w:p w14:paraId="65487307" w14:textId="2F55C344" w:rsidR="002F279F" w:rsidRPr="002F279F" w:rsidRDefault="002F279F" w:rsidP="002F279F">
      <w:pPr>
        <w:ind w:firstLineChars="200" w:firstLine="480"/>
        <w:rPr>
          <w:rFonts w:ascii="仿宋" w:eastAsia="仿宋" w:hAnsi="仿宋"/>
          <w:sz w:val="24"/>
          <w:szCs w:val="24"/>
        </w:rPr>
      </w:pPr>
      <w:r w:rsidRPr="002F279F">
        <w:rPr>
          <w:rFonts w:ascii="仿宋" w:eastAsia="仿宋" w:hAnsi="仿宋"/>
          <w:sz w:val="24"/>
          <w:szCs w:val="24"/>
        </w:rPr>
        <w:t>此外，股东借款的行为可能被视为缺乏合理商业目的的大额资金拆借。缺乏合理商业目的的大额资金拆借一直是税务稽查的重点，国际税务领域亦是如此，例如“转移定价”：企业通过在高税负国家与低税负国家之间调整交易价格，将利润从高税负地区转移到低税负地区，以实现国际避税。</w:t>
      </w:r>
    </w:p>
    <w:p w14:paraId="54ACD9DE" w14:textId="0830E032" w:rsidR="002F279F" w:rsidRPr="002F279F" w:rsidRDefault="002F279F" w:rsidP="002F279F">
      <w:pPr>
        <w:ind w:firstLineChars="200" w:firstLine="480"/>
        <w:rPr>
          <w:rFonts w:ascii="仿宋" w:eastAsia="仿宋" w:hAnsi="仿宋"/>
          <w:sz w:val="24"/>
          <w:szCs w:val="24"/>
        </w:rPr>
      </w:pPr>
      <w:r w:rsidRPr="002F279F">
        <w:rPr>
          <w:rFonts w:ascii="仿宋" w:eastAsia="仿宋" w:hAnsi="仿宋"/>
          <w:sz w:val="24"/>
          <w:szCs w:val="24"/>
        </w:rPr>
        <w:t>因此，股东在借款时应明确借款用途、金额和期限，并确保借款用于企业的生产经营活动。同时，企业也应当加强内部控制，规范股东借款行为，以避免不必要的税务风险和财务风险。在面临税务机关的稽查时，企业应积极配合，提供完整的借款相关资料和证明，用以证明借款的合理性和合法性。</w:t>
      </w:r>
      <w:r w:rsidRPr="002F279F">
        <w:rPr>
          <w:rFonts w:ascii="仿宋" w:eastAsia="仿宋" w:hAnsi="仿宋"/>
          <w:sz w:val="24"/>
          <w:szCs w:val="24"/>
        </w:rPr>
        <w:br/>
      </w:r>
    </w:p>
    <w:p w14:paraId="5514337E" w14:textId="5615A57F" w:rsidR="002F279F" w:rsidRPr="002F279F" w:rsidRDefault="002F279F" w:rsidP="002F279F">
      <w:pPr>
        <w:rPr>
          <w:rFonts w:ascii="仿宋" w:eastAsia="仿宋" w:hAnsi="仿宋"/>
          <w:sz w:val="24"/>
          <w:szCs w:val="24"/>
        </w:rPr>
      </w:pPr>
      <w:r w:rsidRPr="002F279F">
        <w:rPr>
          <w:rFonts w:ascii="仿宋" w:eastAsia="仿宋" w:hAnsi="仿宋"/>
          <w:sz w:val="24"/>
          <w:szCs w:val="24"/>
        </w:rPr>
        <w:drawing>
          <wp:inline distT="0" distB="0" distL="0" distR="0" wp14:anchorId="204B30B0" wp14:editId="011F1A55">
            <wp:extent cx="5274310" cy="3512820"/>
            <wp:effectExtent l="0" t="0" r="2540" b="0"/>
            <wp:docPr id="1062880126" name="图片 1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图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512820"/>
                    </a:xfrm>
                    <a:prstGeom prst="rect">
                      <a:avLst/>
                    </a:prstGeom>
                    <a:noFill/>
                    <a:ln>
                      <a:noFill/>
                    </a:ln>
                  </pic:spPr>
                </pic:pic>
              </a:graphicData>
            </a:graphic>
          </wp:inline>
        </w:drawing>
      </w:r>
      <w:r w:rsidRPr="002F279F">
        <w:rPr>
          <w:rFonts w:ascii="仿宋" w:eastAsia="仿宋" w:hAnsi="仿宋"/>
          <w:sz w:val="24"/>
          <w:szCs w:val="24"/>
        </w:rPr>
        <w:br/>
      </w:r>
    </w:p>
    <w:p w14:paraId="6E779823" w14:textId="177ACFFB" w:rsidR="002F279F" w:rsidRPr="002F279F" w:rsidRDefault="002F279F" w:rsidP="002F279F">
      <w:pPr>
        <w:rPr>
          <w:rFonts w:ascii="仿宋" w:eastAsia="仿宋" w:hAnsi="仿宋"/>
          <w:sz w:val="24"/>
          <w:szCs w:val="24"/>
        </w:rPr>
      </w:pPr>
      <w:r w:rsidRPr="002F279F">
        <w:rPr>
          <w:rFonts w:ascii="仿宋" w:eastAsia="仿宋" w:hAnsi="仿宋"/>
          <w:b/>
          <w:bCs/>
          <w:sz w:val="24"/>
          <w:szCs w:val="24"/>
        </w:rPr>
        <w:t>（二）通过个人账户隐匿收入、虚增成本的稽查风险</w:t>
      </w:r>
      <w:r w:rsidRPr="002F279F">
        <w:rPr>
          <w:rFonts w:ascii="仿宋" w:eastAsia="仿宋" w:hAnsi="仿宋"/>
          <w:b/>
          <w:bCs/>
          <w:sz w:val="24"/>
          <w:szCs w:val="24"/>
        </w:rPr>
        <w:br/>
      </w:r>
    </w:p>
    <w:p w14:paraId="12431F28" w14:textId="028C398A" w:rsidR="002F279F" w:rsidRPr="002F279F" w:rsidRDefault="002F279F" w:rsidP="002F279F">
      <w:pPr>
        <w:ind w:firstLineChars="200" w:firstLine="480"/>
        <w:rPr>
          <w:rFonts w:ascii="仿宋" w:eastAsia="仿宋" w:hAnsi="仿宋"/>
          <w:sz w:val="24"/>
          <w:szCs w:val="24"/>
        </w:rPr>
      </w:pPr>
      <w:r w:rsidRPr="002F279F">
        <w:rPr>
          <w:rFonts w:ascii="仿宋" w:eastAsia="仿宋" w:hAnsi="仿宋"/>
          <w:sz w:val="24"/>
          <w:szCs w:val="24"/>
        </w:rPr>
        <w:t>部分企业为了少缴税款，会将部分销售收入转入个人账户，用以藏匿真实收入，或者通过个人账户虚构成本费用而虚增成本。但是，随着税务稽查的力度加深，税务机关审查的手段更多样，税务机关可以做到对企业的资金流、信息流的全面监控，例如：金税四期系统可以通过比对企业的发票开具情况、银行流水、库存变动等数据，进行风险预警，通过数据分析与税务稽查相结合的方式精准识别出企业是否存在通过个人账户藏匿收入、虚增成本等行为。</w:t>
      </w:r>
    </w:p>
    <w:p w14:paraId="3E4FCE96" w14:textId="5888225F" w:rsidR="002F279F" w:rsidRPr="002F279F" w:rsidRDefault="002F279F" w:rsidP="002F279F">
      <w:pPr>
        <w:ind w:firstLineChars="200" w:firstLine="480"/>
        <w:rPr>
          <w:rFonts w:ascii="仿宋" w:eastAsia="仿宋" w:hAnsi="仿宋"/>
          <w:sz w:val="24"/>
          <w:szCs w:val="24"/>
        </w:rPr>
      </w:pPr>
      <w:r w:rsidRPr="002F279F">
        <w:rPr>
          <w:rFonts w:ascii="仿宋" w:eastAsia="仿宋" w:hAnsi="仿宋"/>
          <w:sz w:val="24"/>
          <w:szCs w:val="24"/>
        </w:rPr>
        <w:t>公私账户频繁转账的</w:t>
      </w:r>
      <w:proofErr w:type="gramStart"/>
      <w:r w:rsidRPr="002F279F">
        <w:rPr>
          <w:rFonts w:ascii="仿宋" w:eastAsia="仿宋" w:hAnsi="仿宋"/>
          <w:sz w:val="24"/>
          <w:szCs w:val="24"/>
        </w:rPr>
        <w:t>异常资金</w:t>
      </w:r>
      <w:proofErr w:type="gramEnd"/>
      <w:r w:rsidRPr="002F279F">
        <w:rPr>
          <w:rFonts w:ascii="仿宋" w:eastAsia="仿宋" w:hAnsi="仿宋"/>
          <w:sz w:val="24"/>
          <w:szCs w:val="24"/>
        </w:rPr>
        <w:t>流，公私账户频繁转账极易引发税务机关的关注。这种频繁转账行为可能存在多种潜在风险，例如企业利用公转私的方式虚构交易闭环，以达到虚开发票、偷逃税款的目的。无特殊情况，若企业单日转账次数超过5次，或者账户与多人之间存在频繁且异常的交易互动，极容易</w:t>
      </w:r>
      <w:proofErr w:type="gramStart"/>
      <w:r w:rsidRPr="002F279F">
        <w:rPr>
          <w:rFonts w:ascii="仿宋" w:eastAsia="仿宋" w:hAnsi="仿宋"/>
          <w:sz w:val="24"/>
          <w:szCs w:val="24"/>
        </w:rPr>
        <w:t>触动风控系统</w:t>
      </w:r>
      <w:proofErr w:type="gramEnd"/>
      <w:r w:rsidRPr="002F279F">
        <w:rPr>
          <w:rFonts w:ascii="仿宋" w:eastAsia="仿宋" w:hAnsi="仿宋"/>
          <w:sz w:val="24"/>
          <w:szCs w:val="24"/>
        </w:rPr>
        <w:t>的警报。交易集中发生在凌晨、节假日等非工作时间段，或单笔交易金额刻意控制在50万以下企图规避监管，都会让税务机关对资金的真实用途和合法性产生质疑。一旦藏匿收入、虚增成本的行为被查实，企业不仅会面对大额的补缴税款、滞纳金，还可能面临罚款等行政处罚，严重的甚至会被追究刑事责任。</w:t>
      </w:r>
      <w:r w:rsidRPr="002F279F">
        <w:rPr>
          <w:rFonts w:ascii="仿宋" w:eastAsia="仿宋" w:hAnsi="仿宋"/>
          <w:sz w:val="24"/>
          <w:szCs w:val="24"/>
        </w:rPr>
        <w:br/>
      </w:r>
    </w:p>
    <w:p w14:paraId="3F484F00" w14:textId="799B7C0A" w:rsidR="002F279F" w:rsidRPr="002F279F" w:rsidRDefault="002F279F" w:rsidP="002F279F">
      <w:pPr>
        <w:rPr>
          <w:rFonts w:ascii="仿宋" w:eastAsia="仿宋" w:hAnsi="仿宋"/>
          <w:sz w:val="24"/>
          <w:szCs w:val="24"/>
        </w:rPr>
      </w:pPr>
      <w:r w:rsidRPr="002F279F">
        <w:rPr>
          <w:rFonts w:ascii="仿宋" w:eastAsia="仿宋" w:hAnsi="仿宋"/>
          <w:sz w:val="24"/>
          <w:szCs w:val="24"/>
        </w:rPr>
        <w:lastRenderedPageBreak/>
        <w:drawing>
          <wp:inline distT="0" distB="0" distL="0" distR="0" wp14:anchorId="7F97A3B4" wp14:editId="1B9BB35A">
            <wp:extent cx="5274310" cy="2946400"/>
            <wp:effectExtent l="0" t="0" r="2540" b="6350"/>
            <wp:docPr id="879988960" name="图片 1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图片"/>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2946400"/>
                    </a:xfrm>
                    <a:prstGeom prst="rect">
                      <a:avLst/>
                    </a:prstGeom>
                    <a:noFill/>
                    <a:ln>
                      <a:noFill/>
                    </a:ln>
                  </pic:spPr>
                </pic:pic>
              </a:graphicData>
            </a:graphic>
          </wp:inline>
        </w:drawing>
      </w:r>
      <w:r w:rsidRPr="002F279F">
        <w:rPr>
          <w:rFonts w:ascii="仿宋" w:eastAsia="仿宋" w:hAnsi="仿宋"/>
          <w:sz w:val="24"/>
          <w:szCs w:val="24"/>
        </w:rPr>
        <w:br/>
      </w:r>
    </w:p>
    <w:p w14:paraId="586C39B1" w14:textId="5CF28132" w:rsidR="002F279F" w:rsidRPr="002F279F" w:rsidRDefault="002F279F" w:rsidP="002F279F">
      <w:pPr>
        <w:rPr>
          <w:rFonts w:ascii="仿宋" w:eastAsia="仿宋" w:hAnsi="仿宋"/>
          <w:sz w:val="24"/>
          <w:szCs w:val="24"/>
        </w:rPr>
      </w:pPr>
      <w:r w:rsidRPr="002F279F">
        <w:rPr>
          <w:rFonts w:ascii="仿宋" w:eastAsia="仿宋" w:hAnsi="仿宋"/>
          <w:b/>
          <w:bCs/>
          <w:sz w:val="24"/>
          <w:szCs w:val="24"/>
        </w:rPr>
        <w:t>（三）虚构交易转移资金的洗钱嫌疑</w:t>
      </w:r>
      <w:r w:rsidRPr="002F279F">
        <w:rPr>
          <w:rFonts w:ascii="仿宋" w:eastAsia="仿宋" w:hAnsi="仿宋"/>
          <w:b/>
          <w:bCs/>
          <w:sz w:val="24"/>
          <w:szCs w:val="24"/>
        </w:rPr>
        <w:br/>
      </w:r>
    </w:p>
    <w:p w14:paraId="2DBBB493" w14:textId="5E5334DA" w:rsidR="002F279F" w:rsidRPr="002F279F" w:rsidRDefault="002F279F" w:rsidP="002F279F">
      <w:pPr>
        <w:ind w:firstLineChars="200" w:firstLine="480"/>
        <w:rPr>
          <w:rFonts w:ascii="仿宋" w:eastAsia="仿宋" w:hAnsi="仿宋"/>
          <w:sz w:val="24"/>
          <w:szCs w:val="24"/>
        </w:rPr>
      </w:pPr>
      <w:r w:rsidRPr="002F279F">
        <w:rPr>
          <w:rFonts w:ascii="仿宋" w:eastAsia="仿宋" w:hAnsi="仿宋"/>
          <w:sz w:val="24"/>
          <w:szCs w:val="24"/>
        </w:rPr>
        <w:t>部分企业可能通过伪造交易合同、发票等方式虚构交易，将企业资金转移到个人账户或其他关联账户，以达到非法转移资金的目的。企业这种虚构交易转移资金的行为，可能会被认定为洗钱行为提供帮助，从而引发巨大的法律风险。税务机关在稽查过程中，若发现企业存在异常的资金转移，且交易缺乏实质经营证据作为支撑，会将线索移交给相关部门，进一步调查是否存在洗钱行为。</w:t>
      </w:r>
      <w:r w:rsidRPr="002F279F">
        <w:rPr>
          <w:rFonts w:ascii="仿宋" w:eastAsia="仿宋" w:hAnsi="仿宋"/>
          <w:sz w:val="24"/>
          <w:szCs w:val="24"/>
        </w:rPr>
        <w:br/>
      </w:r>
    </w:p>
    <w:p w14:paraId="6B18FC74" w14:textId="391F794B" w:rsidR="002F279F" w:rsidRPr="002F279F" w:rsidRDefault="002F279F" w:rsidP="002F279F">
      <w:pPr>
        <w:rPr>
          <w:rFonts w:ascii="仿宋" w:eastAsia="仿宋" w:hAnsi="仿宋"/>
          <w:sz w:val="24"/>
          <w:szCs w:val="24"/>
        </w:rPr>
      </w:pPr>
      <w:r w:rsidRPr="002F279F">
        <w:rPr>
          <w:rFonts w:ascii="仿宋" w:eastAsia="仿宋" w:hAnsi="仿宋"/>
          <w:sz w:val="24"/>
          <w:szCs w:val="24"/>
        </w:rPr>
        <w:drawing>
          <wp:inline distT="0" distB="0" distL="0" distR="0" wp14:anchorId="77703370" wp14:editId="68D172E6">
            <wp:extent cx="5274310" cy="3147060"/>
            <wp:effectExtent l="0" t="0" r="2540" b="0"/>
            <wp:docPr id="2046150131" name="图片 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图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147060"/>
                    </a:xfrm>
                    <a:prstGeom prst="rect">
                      <a:avLst/>
                    </a:prstGeom>
                    <a:noFill/>
                    <a:ln>
                      <a:noFill/>
                    </a:ln>
                  </pic:spPr>
                </pic:pic>
              </a:graphicData>
            </a:graphic>
          </wp:inline>
        </w:drawing>
      </w:r>
      <w:r w:rsidRPr="002F279F">
        <w:rPr>
          <w:rFonts w:ascii="仿宋" w:eastAsia="仿宋" w:hAnsi="仿宋"/>
          <w:sz w:val="24"/>
          <w:szCs w:val="24"/>
        </w:rPr>
        <w:br/>
      </w:r>
    </w:p>
    <w:p w14:paraId="026B0DF7" w14:textId="077D13E2" w:rsidR="002F279F" w:rsidRPr="002F279F" w:rsidRDefault="002F279F" w:rsidP="002F279F">
      <w:pPr>
        <w:rPr>
          <w:rFonts w:ascii="仿宋" w:eastAsia="仿宋" w:hAnsi="仿宋"/>
          <w:sz w:val="24"/>
          <w:szCs w:val="24"/>
        </w:rPr>
      </w:pPr>
      <w:r w:rsidRPr="002F279F">
        <w:rPr>
          <w:rFonts w:ascii="仿宋" w:eastAsia="仿宋" w:hAnsi="仿宋"/>
          <w:b/>
          <w:bCs/>
          <w:sz w:val="24"/>
          <w:szCs w:val="24"/>
        </w:rPr>
        <w:t>（四）个人账户收付境外款项</w:t>
      </w:r>
      <w:r w:rsidRPr="002F279F">
        <w:rPr>
          <w:rFonts w:ascii="仿宋" w:eastAsia="仿宋" w:hAnsi="仿宋"/>
          <w:b/>
          <w:bCs/>
          <w:sz w:val="24"/>
          <w:szCs w:val="24"/>
        </w:rPr>
        <w:br/>
      </w:r>
    </w:p>
    <w:p w14:paraId="7CEC2A55" w14:textId="64706C36" w:rsidR="002F279F" w:rsidRPr="002F279F" w:rsidRDefault="002F279F" w:rsidP="002F279F">
      <w:pPr>
        <w:ind w:firstLineChars="200" w:firstLine="480"/>
        <w:rPr>
          <w:rFonts w:ascii="仿宋" w:eastAsia="仿宋" w:hAnsi="仿宋"/>
          <w:sz w:val="24"/>
          <w:szCs w:val="24"/>
        </w:rPr>
      </w:pPr>
      <w:r w:rsidRPr="002F279F">
        <w:rPr>
          <w:rFonts w:ascii="仿宋" w:eastAsia="仿宋" w:hAnsi="仿宋"/>
          <w:sz w:val="24"/>
          <w:szCs w:val="24"/>
        </w:rPr>
        <w:t>通过个人账户收取跨境贸易货款，可能会被认定为隐匿收入或逃避外汇监管。</w:t>
      </w:r>
      <w:r w:rsidRPr="002F279F">
        <w:rPr>
          <w:rFonts w:ascii="仿宋" w:eastAsia="仿宋" w:hAnsi="仿宋"/>
          <w:sz w:val="24"/>
          <w:szCs w:val="24"/>
        </w:rPr>
        <w:lastRenderedPageBreak/>
        <w:t>在我国，企业的跨境贸易收支通常需要通过企业的外汇账户进行，并且需要按照规定进行申报。如果企业通过个人账户收取境外货款，一方面，税务机关可能会认为企业存在隐匿收入的行为，例如：在实际交易中，企业利用个人卡收</w:t>
      </w:r>
      <w:proofErr w:type="gramStart"/>
      <w:r w:rsidRPr="002F279F">
        <w:rPr>
          <w:rFonts w:ascii="仿宋" w:eastAsia="仿宋" w:hAnsi="仿宋"/>
          <w:sz w:val="24"/>
          <w:szCs w:val="24"/>
        </w:rPr>
        <w:t>付业务</w:t>
      </w:r>
      <w:proofErr w:type="gramEnd"/>
      <w:r w:rsidRPr="002F279F">
        <w:rPr>
          <w:rFonts w:ascii="仿宋" w:eastAsia="仿宋" w:hAnsi="仿宋"/>
          <w:sz w:val="24"/>
          <w:szCs w:val="24"/>
        </w:rPr>
        <w:t>款项，可能导致收入不入账，从而偷逃企业所得税和增值税等税款。实际上，这种行为违背了实质经营的要求，模糊了资金的来源与去向；另一方面，外汇管理部门会认为企业逃避了外汇监管，违反了外汇管理规定。尤其在跨境交易方面。跨境资金流的匹配性是稽查部门重点关注的问题。在跨境交易中，贸易合同、物流单据、资金流向的一致性是税务稽查的关键要点。税务机关通过审查“三流一致”来判断跨境交易的真实性和合</w:t>
      </w:r>
      <w:proofErr w:type="gramStart"/>
      <w:r w:rsidRPr="002F279F">
        <w:rPr>
          <w:rFonts w:ascii="仿宋" w:eastAsia="仿宋" w:hAnsi="仿宋"/>
          <w:sz w:val="24"/>
          <w:szCs w:val="24"/>
        </w:rPr>
        <w:t>规</w:t>
      </w:r>
      <w:proofErr w:type="gramEnd"/>
      <w:r w:rsidRPr="002F279F">
        <w:rPr>
          <w:rFonts w:ascii="仿宋" w:eastAsia="仿宋" w:hAnsi="仿宋"/>
          <w:sz w:val="24"/>
          <w:szCs w:val="24"/>
        </w:rPr>
        <w:t>性，此处具体内容在上一篇</w:t>
      </w:r>
      <w:hyperlink r:id="rId9" w:anchor="wechat_redirect" w:tgtFrame="_blank" w:history="1">
        <w:r w:rsidRPr="002F279F">
          <w:rPr>
            <w:rStyle w:val="af2"/>
            <w:rFonts w:ascii="仿宋" w:eastAsia="仿宋" w:hAnsi="仿宋"/>
            <w:sz w:val="24"/>
            <w:szCs w:val="24"/>
          </w:rPr>
          <w:t>出口贸易海外收款涉税合</w:t>
        </w:r>
        <w:proofErr w:type="gramStart"/>
        <w:r w:rsidRPr="002F279F">
          <w:rPr>
            <w:rStyle w:val="af2"/>
            <w:rFonts w:ascii="仿宋" w:eastAsia="仿宋" w:hAnsi="仿宋"/>
            <w:sz w:val="24"/>
            <w:szCs w:val="24"/>
          </w:rPr>
          <w:t>规</w:t>
        </w:r>
        <w:proofErr w:type="gramEnd"/>
        <w:r w:rsidRPr="002F279F">
          <w:rPr>
            <w:rStyle w:val="af2"/>
            <w:rFonts w:ascii="仿宋" w:eastAsia="仿宋" w:hAnsi="仿宋"/>
            <w:sz w:val="24"/>
            <w:szCs w:val="24"/>
          </w:rPr>
          <w:t>指引 - 专业文章 - 上海市锦天城律师事务所中有详细介绍</w:t>
        </w:r>
      </w:hyperlink>
      <w:r w:rsidRPr="002F279F">
        <w:rPr>
          <w:rFonts w:ascii="仿宋" w:eastAsia="仿宋" w:hAnsi="仿宋"/>
          <w:sz w:val="24"/>
          <w:szCs w:val="24"/>
        </w:rPr>
        <w:t>。若贸易合同约定的交易内容与实际资金流向不符，或者物流单据无法与贸易合同和资金流向相互印证，可能存在虚构跨境交易、转移资金或骗取出口退税等税务违法行为。</w:t>
      </w:r>
      <w:r w:rsidRPr="002F279F">
        <w:rPr>
          <w:rFonts w:ascii="仿宋" w:eastAsia="仿宋" w:hAnsi="仿宋"/>
          <w:sz w:val="24"/>
          <w:szCs w:val="24"/>
        </w:rPr>
        <w:br/>
      </w:r>
    </w:p>
    <w:p w14:paraId="0C14984F" w14:textId="47F44CC7" w:rsidR="002F279F" w:rsidRPr="002F279F" w:rsidRDefault="002F279F" w:rsidP="002F279F">
      <w:pPr>
        <w:rPr>
          <w:rFonts w:ascii="仿宋" w:eastAsia="仿宋" w:hAnsi="仿宋"/>
          <w:sz w:val="24"/>
          <w:szCs w:val="24"/>
        </w:rPr>
      </w:pPr>
      <w:r w:rsidRPr="002F279F">
        <w:rPr>
          <w:rFonts w:ascii="仿宋" w:eastAsia="仿宋" w:hAnsi="仿宋"/>
          <w:sz w:val="24"/>
          <w:szCs w:val="24"/>
        </w:rPr>
        <w:drawing>
          <wp:inline distT="0" distB="0" distL="0" distR="0" wp14:anchorId="2672440E" wp14:editId="71DBAB28">
            <wp:extent cx="5274310" cy="1294130"/>
            <wp:effectExtent l="0" t="0" r="2540" b="1270"/>
            <wp:docPr id="1081502077"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图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1294130"/>
                    </a:xfrm>
                    <a:prstGeom prst="rect">
                      <a:avLst/>
                    </a:prstGeom>
                    <a:noFill/>
                    <a:ln>
                      <a:noFill/>
                    </a:ln>
                  </pic:spPr>
                </pic:pic>
              </a:graphicData>
            </a:graphic>
          </wp:inline>
        </w:drawing>
      </w:r>
      <w:r w:rsidRPr="002F279F">
        <w:rPr>
          <w:rFonts w:ascii="仿宋" w:eastAsia="仿宋" w:hAnsi="仿宋"/>
          <w:sz w:val="24"/>
          <w:szCs w:val="24"/>
        </w:rPr>
        <w:br/>
      </w:r>
    </w:p>
    <w:p w14:paraId="32750C25" w14:textId="02323D1F" w:rsidR="002F279F" w:rsidRPr="002F279F" w:rsidRDefault="002F279F" w:rsidP="002F279F">
      <w:pPr>
        <w:rPr>
          <w:rFonts w:ascii="仿宋" w:eastAsia="仿宋" w:hAnsi="仿宋"/>
          <w:sz w:val="24"/>
          <w:szCs w:val="24"/>
        </w:rPr>
      </w:pPr>
      <w:r w:rsidRPr="002F279F">
        <w:rPr>
          <w:rFonts w:ascii="仿宋" w:eastAsia="仿宋" w:hAnsi="仿宋"/>
          <w:b/>
          <w:bCs/>
          <w:sz w:val="24"/>
          <w:szCs w:val="24"/>
        </w:rPr>
        <w:t>四、合</w:t>
      </w:r>
      <w:proofErr w:type="gramStart"/>
      <w:r w:rsidRPr="002F279F">
        <w:rPr>
          <w:rFonts w:ascii="仿宋" w:eastAsia="仿宋" w:hAnsi="仿宋"/>
          <w:b/>
          <w:bCs/>
          <w:sz w:val="24"/>
          <w:szCs w:val="24"/>
        </w:rPr>
        <w:t>规</w:t>
      </w:r>
      <w:proofErr w:type="gramEnd"/>
      <w:r w:rsidRPr="002F279F">
        <w:rPr>
          <w:rFonts w:ascii="仿宋" w:eastAsia="仿宋" w:hAnsi="仿宋"/>
          <w:b/>
          <w:bCs/>
          <w:sz w:val="24"/>
          <w:szCs w:val="24"/>
        </w:rPr>
        <w:t>指南：公私账户平衡的实操路线图</w:t>
      </w:r>
      <w:r w:rsidRPr="002F279F">
        <w:rPr>
          <w:rFonts w:ascii="仿宋" w:eastAsia="仿宋" w:hAnsi="仿宋"/>
          <w:sz w:val="24"/>
          <w:szCs w:val="24"/>
        </w:rPr>
        <w:br/>
      </w:r>
    </w:p>
    <w:p w14:paraId="28868D52" w14:textId="5C5F8508" w:rsidR="002F279F" w:rsidRPr="002F279F" w:rsidRDefault="002F279F" w:rsidP="002F279F">
      <w:pPr>
        <w:rPr>
          <w:rFonts w:ascii="仿宋" w:eastAsia="仿宋" w:hAnsi="仿宋"/>
          <w:sz w:val="24"/>
          <w:szCs w:val="24"/>
        </w:rPr>
      </w:pPr>
      <w:r w:rsidRPr="002F279F">
        <w:rPr>
          <w:rFonts w:ascii="仿宋" w:eastAsia="仿宋" w:hAnsi="仿宋"/>
          <w:b/>
          <w:bCs/>
          <w:sz w:val="24"/>
          <w:szCs w:val="24"/>
        </w:rPr>
        <w:t>（一）坚持实质经营</w:t>
      </w:r>
      <w:r w:rsidRPr="002F279F">
        <w:rPr>
          <w:rFonts w:ascii="仿宋" w:eastAsia="仿宋" w:hAnsi="仿宋"/>
          <w:b/>
          <w:bCs/>
          <w:sz w:val="24"/>
          <w:szCs w:val="24"/>
        </w:rPr>
        <w:br/>
      </w:r>
    </w:p>
    <w:p w14:paraId="05EC240E" w14:textId="43A319CE" w:rsidR="002F279F" w:rsidRPr="002F279F" w:rsidRDefault="002F279F" w:rsidP="002F279F">
      <w:pPr>
        <w:ind w:firstLineChars="200" w:firstLine="480"/>
        <w:rPr>
          <w:rFonts w:ascii="仿宋" w:eastAsia="仿宋" w:hAnsi="仿宋" w:hint="eastAsia"/>
          <w:sz w:val="24"/>
          <w:szCs w:val="24"/>
        </w:rPr>
      </w:pPr>
      <w:r w:rsidRPr="002F279F">
        <w:rPr>
          <w:rFonts w:ascii="仿宋" w:eastAsia="仿宋" w:hAnsi="仿宋"/>
          <w:sz w:val="24"/>
          <w:szCs w:val="24"/>
        </w:rPr>
        <w:t>企业公私账户平衡的实现，应当合</w:t>
      </w:r>
      <w:proofErr w:type="gramStart"/>
      <w:r w:rsidRPr="002F279F">
        <w:rPr>
          <w:rFonts w:ascii="仿宋" w:eastAsia="仿宋" w:hAnsi="仿宋"/>
          <w:sz w:val="24"/>
          <w:szCs w:val="24"/>
        </w:rPr>
        <w:t>规化</w:t>
      </w:r>
      <w:proofErr w:type="gramEnd"/>
      <w:r w:rsidRPr="002F279F">
        <w:rPr>
          <w:rFonts w:ascii="仿宋" w:eastAsia="仿宋" w:hAnsi="仿宋"/>
          <w:sz w:val="24"/>
          <w:szCs w:val="24"/>
        </w:rPr>
        <w:t>处理，一切虚构的交易与没有证据、凭证等作为支撑的资金往来都具有较大的法律风险。因此，企业资金来往应当坚持实质经营并留存相关凭证，做好合</w:t>
      </w:r>
      <w:proofErr w:type="gramStart"/>
      <w:r w:rsidRPr="002F279F">
        <w:rPr>
          <w:rFonts w:ascii="仿宋" w:eastAsia="仿宋" w:hAnsi="仿宋"/>
          <w:sz w:val="24"/>
          <w:szCs w:val="24"/>
        </w:rPr>
        <w:t>规</w:t>
      </w:r>
      <w:proofErr w:type="gramEnd"/>
      <w:r w:rsidRPr="002F279F">
        <w:rPr>
          <w:rFonts w:ascii="仿宋" w:eastAsia="仿宋" w:hAnsi="仿宋"/>
          <w:sz w:val="24"/>
          <w:szCs w:val="24"/>
        </w:rPr>
        <w:t>管理以应对风险。坚持实质经营，关键在于公私资金往来要遵循“四有原则”：有合同、有凭证、有记录、有纳税。</w:t>
      </w:r>
    </w:p>
    <w:p w14:paraId="683490C7" w14:textId="77777777" w:rsidR="002F279F" w:rsidRDefault="002F279F" w:rsidP="002F279F">
      <w:pPr>
        <w:ind w:firstLineChars="200" w:firstLine="480"/>
        <w:rPr>
          <w:rFonts w:ascii="仿宋" w:eastAsia="仿宋" w:hAnsi="仿宋"/>
          <w:sz w:val="24"/>
          <w:szCs w:val="24"/>
        </w:rPr>
      </w:pPr>
      <w:r w:rsidRPr="002F279F">
        <w:rPr>
          <w:rFonts w:ascii="仿宋" w:eastAsia="仿宋" w:hAnsi="仿宋"/>
          <w:sz w:val="24"/>
          <w:szCs w:val="24"/>
        </w:rPr>
        <w:t>其一，合同是基础，所有的金钱往来必须建立在真实的交易之上，签订合法有效的合同，合同是交易真实存在的依据，也是交易双方权利与义务的凭证，发生纠纷时能够提供法律保障。</w:t>
      </w:r>
    </w:p>
    <w:p w14:paraId="2DE35E9F" w14:textId="213B6A46" w:rsidR="002F279F" w:rsidRPr="002F279F" w:rsidRDefault="002F279F" w:rsidP="002F279F">
      <w:pPr>
        <w:ind w:firstLineChars="200" w:firstLine="480"/>
        <w:rPr>
          <w:rFonts w:ascii="仿宋" w:eastAsia="仿宋" w:hAnsi="仿宋" w:hint="eastAsia"/>
          <w:sz w:val="24"/>
          <w:szCs w:val="24"/>
        </w:rPr>
      </w:pPr>
      <w:r w:rsidRPr="002F279F">
        <w:rPr>
          <w:rFonts w:ascii="仿宋" w:eastAsia="仿宋" w:hAnsi="仿宋"/>
          <w:sz w:val="24"/>
          <w:szCs w:val="24"/>
        </w:rPr>
        <w:t>其二，凭证也是基础，企业进行业务交易时的时候一定要有凭证，比如发票、收据等等，这些凭证也是财务会计的依据，是税务部门审核的关键，如果没有这些凭证，在纳税申报的时候可能无法抵扣费用。</w:t>
      </w:r>
    </w:p>
    <w:p w14:paraId="6AB15EEC" w14:textId="71E2FA93" w:rsidR="002F279F" w:rsidRPr="002F279F" w:rsidRDefault="002F279F" w:rsidP="002F279F">
      <w:pPr>
        <w:ind w:firstLineChars="200" w:firstLine="480"/>
        <w:rPr>
          <w:rFonts w:ascii="仿宋" w:eastAsia="仿宋" w:hAnsi="仿宋" w:hint="eastAsia"/>
          <w:sz w:val="24"/>
          <w:szCs w:val="24"/>
        </w:rPr>
      </w:pPr>
      <w:r w:rsidRPr="002F279F">
        <w:rPr>
          <w:rFonts w:ascii="仿宋" w:eastAsia="仿宋" w:hAnsi="仿宋"/>
          <w:sz w:val="24"/>
          <w:szCs w:val="24"/>
        </w:rPr>
        <w:t>其三，记录要完整，即要建立企业良好的财务制度，对于每一笔公私开支都要做好详细的记录和统计，清晰的账目记录方便企业进行资金的掌握和排查，有利于在外部审计和检查时提供翔实的资料。</w:t>
      </w:r>
    </w:p>
    <w:p w14:paraId="31937B52" w14:textId="77777777" w:rsidR="002F279F" w:rsidRPr="002F279F" w:rsidRDefault="002F279F" w:rsidP="002F279F">
      <w:pPr>
        <w:ind w:firstLineChars="200" w:firstLine="480"/>
        <w:rPr>
          <w:rFonts w:ascii="仿宋" w:eastAsia="仿宋" w:hAnsi="仿宋"/>
          <w:sz w:val="24"/>
          <w:szCs w:val="24"/>
        </w:rPr>
      </w:pPr>
      <w:r w:rsidRPr="002F279F">
        <w:rPr>
          <w:rFonts w:ascii="仿宋" w:eastAsia="仿宋" w:hAnsi="仿宋"/>
          <w:sz w:val="24"/>
          <w:szCs w:val="24"/>
        </w:rPr>
        <w:t>其四，纳税是企业必须履行的义务，对于公私资金来往所产生的所得税等，企业和往来人都要做到依法纳税。按时按期纳税是企业依法经营的具体表现，能够避免因纳税产生的罚款、加收滞纳金等问题。</w:t>
      </w:r>
    </w:p>
    <w:p w14:paraId="01EECEBC" w14:textId="2BB3D782" w:rsidR="002F279F" w:rsidRPr="002F279F" w:rsidRDefault="002F279F" w:rsidP="002F279F">
      <w:pPr>
        <w:rPr>
          <w:rFonts w:ascii="仿宋" w:eastAsia="仿宋" w:hAnsi="仿宋"/>
          <w:sz w:val="24"/>
          <w:szCs w:val="24"/>
        </w:rPr>
      </w:pPr>
    </w:p>
    <w:p w14:paraId="10AA47FA" w14:textId="2D5F64AE" w:rsidR="002F279F" w:rsidRPr="002F279F" w:rsidRDefault="002F279F" w:rsidP="002F279F">
      <w:pPr>
        <w:rPr>
          <w:rFonts w:ascii="仿宋" w:eastAsia="仿宋" w:hAnsi="仿宋"/>
          <w:sz w:val="24"/>
          <w:szCs w:val="24"/>
        </w:rPr>
      </w:pPr>
      <w:r w:rsidRPr="002F279F">
        <w:rPr>
          <w:rFonts w:ascii="仿宋" w:eastAsia="仿宋" w:hAnsi="仿宋"/>
          <w:b/>
          <w:bCs/>
          <w:sz w:val="24"/>
          <w:szCs w:val="24"/>
        </w:rPr>
        <w:t>（二）收集完整的资金流证据链</w:t>
      </w:r>
      <w:r w:rsidRPr="002F279F">
        <w:rPr>
          <w:rFonts w:ascii="仿宋" w:eastAsia="仿宋" w:hAnsi="仿宋"/>
          <w:b/>
          <w:bCs/>
          <w:sz w:val="24"/>
          <w:szCs w:val="24"/>
        </w:rPr>
        <w:br/>
      </w:r>
    </w:p>
    <w:p w14:paraId="3273C440" w14:textId="636037D7" w:rsidR="002F279F" w:rsidRPr="002F279F" w:rsidRDefault="002F279F" w:rsidP="002F279F">
      <w:pPr>
        <w:ind w:firstLineChars="200" w:firstLine="480"/>
        <w:rPr>
          <w:rFonts w:ascii="仿宋" w:eastAsia="仿宋" w:hAnsi="仿宋"/>
          <w:sz w:val="24"/>
          <w:szCs w:val="24"/>
        </w:rPr>
      </w:pPr>
      <w:r w:rsidRPr="002F279F">
        <w:rPr>
          <w:rFonts w:ascii="仿宋" w:eastAsia="仿宋" w:hAnsi="仿宋"/>
          <w:sz w:val="24"/>
          <w:szCs w:val="24"/>
        </w:rPr>
        <w:t>在税务稽查过程中，完整的资金流证据链是稽查企业业务真实性、合法性，从而得出相关结论的重要依据。企业应当做好交易环节各阶段的证据留存，全面取证，以应对税务稽查。企业境内日常交易，应保存好交易合同、资金收据、发票等交易的主要单证。交易合同要有明确的双方权责关系、交易标的、交易金额、付款方式等关键性合同条款，并与交易实际资金流相一致。交易中主要存在的资金收据有：银行汇款转账记录、支票存根、现金收据等，要与资金交易合同、发票等单证相互印证。发票作为交易的重要证据，要真实、合法开具取得，并载明交易内容、金额、税率等信息。涉及货物运输的，要保存物流等货物流转资料，如物流单据、</w:t>
      </w:r>
      <w:proofErr w:type="gramStart"/>
      <w:r w:rsidRPr="002F279F">
        <w:rPr>
          <w:rFonts w:ascii="仿宋" w:eastAsia="仿宋" w:hAnsi="仿宋"/>
          <w:sz w:val="24"/>
          <w:szCs w:val="24"/>
        </w:rPr>
        <w:t>仓库台</w:t>
      </w:r>
      <w:proofErr w:type="gramEnd"/>
      <w:r w:rsidRPr="002F279F">
        <w:rPr>
          <w:rFonts w:ascii="仿宋" w:eastAsia="仿宋" w:hAnsi="仿宋"/>
          <w:sz w:val="24"/>
          <w:szCs w:val="24"/>
        </w:rPr>
        <w:t>账等证据佐证货物实际流动的情况。</w:t>
      </w:r>
    </w:p>
    <w:p w14:paraId="15404FEE" w14:textId="4475C37D" w:rsidR="002F279F" w:rsidRPr="002F279F" w:rsidRDefault="002F279F" w:rsidP="002F279F">
      <w:pPr>
        <w:ind w:firstLineChars="200" w:firstLine="480"/>
        <w:rPr>
          <w:rFonts w:ascii="仿宋" w:eastAsia="仿宋" w:hAnsi="仿宋" w:hint="eastAsia"/>
          <w:sz w:val="24"/>
          <w:szCs w:val="24"/>
        </w:rPr>
      </w:pPr>
      <w:r w:rsidRPr="002F279F">
        <w:rPr>
          <w:rFonts w:ascii="仿宋" w:eastAsia="仿宋" w:hAnsi="仿宋"/>
          <w:sz w:val="24"/>
          <w:szCs w:val="24"/>
        </w:rPr>
        <w:t>在跨境交易中，由于涉及更多国家、地区的税收政策和外汇管理相关规定，资金流证据</w:t>
      </w:r>
      <w:proofErr w:type="gramStart"/>
      <w:r w:rsidRPr="002F279F">
        <w:rPr>
          <w:rFonts w:ascii="仿宋" w:eastAsia="仿宋" w:hAnsi="仿宋"/>
          <w:sz w:val="24"/>
          <w:szCs w:val="24"/>
        </w:rPr>
        <w:t>链要求</w:t>
      </w:r>
      <w:proofErr w:type="gramEnd"/>
      <w:r w:rsidRPr="002F279F">
        <w:rPr>
          <w:rFonts w:ascii="仿宋" w:eastAsia="仿宋" w:hAnsi="仿宋"/>
          <w:sz w:val="24"/>
          <w:szCs w:val="24"/>
        </w:rPr>
        <w:t>更高。企业应注意保留跨境关联交易定价公允性证据，保留交易发生时点资料，比如：交易的背景资料、定价方法、可比交易分析等能证明交易价格公允的证据；跨境交易涉及严格的外汇收支申报要求，企业要按照外汇管理规定，及时、准确申报跨境资金流动，并对申报资料留存。</w:t>
      </w:r>
    </w:p>
    <w:p w14:paraId="5F471DAC" w14:textId="77777777" w:rsidR="002F279F" w:rsidRPr="002F279F" w:rsidRDefault="002F279F" w:rsidP="002F279F">
      <w:pPr>
        <w:ind w:firstLineChars="200" w:firstLine="480"/>
        <w:rPr>
          <w:rFonts w:ascii="仿宋" w:eastAsia="仿宋" w:hAnsi="仿宋"/>
          <w:sz w:val="24"/>
          <w:szCs w:val="24"/>
        </w:rPr>
      </w:pPr>
      <w:r w:rsidRPr="002F279F">
        <w:rPr>
          <w:rFonts w:ascii="仿宋" w:eastAsia="仿宋" w:hAnsi="仿宋"/>
          <w:sz w:val="24"/>
          <w:szCs w:val="24"/>
        </w:rPr>
        <w:t>总而言之，无论是境内交易还是跨境交易，企业都要建立证据管理机制，对资金流证据进行整理和保存，以便在纳税检查时快速提供完整的证据链条来说明交易是真实的、合</w:t>
      </w:r>
      <w:proofErr w:type="gramStart"/>
      <w:r w:rsidRPr="002F279F">
        <w:rPr>
          <w:rFonts w:ascii="仿宋" w:eastAsia="仿宋" w:hAnsi="仿宋"/>
          <w:sz w:val="24"/>
          <w:szCs w:val="24"/>
        </w:rPr>
        <w:t>规</w:t>
      </w:r>
      <w:proofErr w:type="gramEnd"/>
      <w:r w:rsidRPr="002F279F">
        <w:rPr>
          <w:rFonts w:ascii="仿宋" w:eastAsia="仿宋" w:hAnsi="仿宋"/>
          <w:sz w:val="24"/>
          <w:szCs w:val="24"/>
        </w:rPr>
        <w:t>的。</w:t>
      </w:r>
    </w:p>
    <w:p w14:paraId="464A42E0" w14:textId="74D97709" w:rsidR="002F279F" w:rsidRPr="002F279F" w:rsidRDefault="002F279F" w:rsidP="002F279F">
      <w:pPr>
        <w:rPr>
          <w:rFonts w:ascii="仿宋" w:eastAsia="仿宋" w:hAnsi="仿宋"/>
          <w:sz w:val="24"/>
          <w:szCs w:val="24"/>
        </w:rPr>
      </w:pPr>
    </w:p>
    <w:p w14:paraId="1E4952C3" w14:textId="55B8924C" w:rsidR="002F279F" w:rsidRPr="002F279F" w:rsidRDefault="002F279F" w:rsidP="002F279F">
      <w:pPr>
        <w:rPr>
          <w:rFonts w:ascii="仿宋" w:eastAsia="仿宋" w:hAnsi="仿宋"/>
          <w:sz w:val="24"/>
          <w:szCs w:val="24"/>
        </w:rPr>
      </w:pPr>
      <w:r w:rsidRPr="002F279F">
        <w:rPr>
          <w:rFonts w:ascii="仿宋" w:eastAsia="仿宋" w:hAnsi="仿宋"/>
          <w:b/>
          <w:bCs/>
          <w:sz w:val="24"/>
          <w:szCs w:val="24"/>
        </w:rPr>
        <w:t>（三）合理的成本计划与税务规划</w:t>
      </w:r>
      <w:r w:rsidRPr="002F279F">
        <w:rPr>
          <w:rFonts w:ascii="仿宋" w:eastAsia="仿宋" w:hAnsi="仿宋"/>
          <w:b/>
          <w:bCs/>
          <w:sz w:val="24"/>
          <w:szCs w:val="24"/>
        </w:rPr>
        <w:br/>
      </w:r>
    </w:p>
    <w:p w14:paraId="499F5149" w14:textId="24D15B88" w:rsidR="002F279F" w:rsidRPr="002F279F" w:rsidRDefault="002F279F" w:rsidP="002F279F">
      <w:pPr>
        <w:rPr>
          <w:rFonts w:ascii="仿宋" w:eastAsia="仿宋" w:hAnsi="仿宋"/>
          <w:sz w:val="24"/>
          <w:szCs w:val="24"/>
        </w:rPr>
      </w:pPr>
      <w:r w:rsidRPr="002F279F">
        <w:rPr>
          <w:rFonts w:ascii="仿宋" w:eastAsia="仿宋" w:hAnsi="仿宋"/>
          <w:b/>
          <w:bCs/>
          <w:sz w:val="24"/>
          <w:szCs w:val="24"/>
        </w:rPr>
        <w:t>1.成本计划</w:t>
      </w:r>
      <w:r w:rsidRPr="002F279F">
        <w:rPr>
          <w:rFonts w:ascii="仿宋" w:eastAsia="仿宋" w:hAnsi="仿宋"/>
          <w:b/>
          <w:bCs/>
          <w:sz w:val="24"/>
          <w:szCs w:val="24"/>
        </w:rPr>
        <w:br/>
      </w:r>
    </w:p>
    <w:p w14:paraId="59677605" w14:textId="0EB135CB" w:rsidR="002F279F" w:rsidRPr="002F279F" w:rsidRDefault="002F279F" w:rsidP="002F279F">
      <w:pPr>
        <w:ind w:firstLineChars="200" w:firstLine="480"/>
        <w:rPr>
          <w:rFonts w:ascii="仿宋" w:eastAsia="仿宋" w:hAnsi="仿宋"/>
          <w:sz w:val="24"/>
          <w:szCs w:val="24"/>
        </w:rPr>
      </w:pPr>
      <w:r w:rsidRPr="002F279F">
        <w:rPr>
          <w:rFonts w:ascii="仿宋" w:eastAsia="仿宋" w:hAnsi="仿宋"/>
          <w:sz w:val="24"/>
          <w:szCs w:val="24"/>
        </w:rPr>
        <w:t>企业应结合自身的经营目标和业务特点，制定合理的成本计划。在资金使用方面，要合理安排各金融账户之间的资金分配，确保企业的正常经营活动所需资金得到保障，同时避免资金的闲置和浪费。例如，对于企业的日常运营成本，如房租、水电费、人员工资等，应通过业务账户进行合理安排和支付；对于股东的合理支出，如股东为企业业务发生的差旅费、招待费等，应按照企业的报销制度进行处理，从业务账户中支出。</w:t>
      </w:r>
      <w:r w:rsidRPr="002F279F">
        <w:rPr>
          <w:rFonts w:ascii="仿宋" w:eastAsia="仿宋" w:hAnsi="仿宋"/>
          <w:sz w:val="24"/>
          <w:szCs w:val="24"/>
        </w:rPr>
        <w:br/>
      </w:r>
    </w:p>
    <w:p w14:paraId="142BA26D" w14:textId="3F6967DD" w:rsidR="002F279F" w:rsidRPr="002F279F" w:rsidRDefault="002F279F" w:rsidP="002F279F">
      <w:pPr>
        <w:rPr>
          <w:rFonts w:ascii="仿宋" w:eastAsia="仿宋" w:hAnsi="仿宋"/>
          <w:sz w:val="24"/>
          <w:szCs w:val="24"/>
        </w:rPr>
      </w:pPr>
      <w:r w:rsidRPr="002F279F">
        <w:rPr>
          <w:rFonts w:ascii="仿宋" w:eastAsia="仿宋" w:hAnsi="仿宋"/>
          <w:b/>
          <w:bCs/>
          <w:sz w:val="24"/>
          <w:szCs w:val="24"/>
        </w:rPr>
        <w:t>2.税务计划</w:t>
      </w:r>
      <w:r w:rsidRPr="002F279F">
        <w:rPr>
          <w:rFonts w:ascii="仿宋" w:eastAsia="仿宋" w:hAnsi="仿宋"/>
          <w:b/>
          <w:bCs/>
          <w:sz w:val="24"/>
          <w:szCs w:val="24"/>
        </w:rPr>
        <w:br/>
      </w:r>
    </w:p>
    <w:p w14:paraId="3293F61F" w14:textId="43305F7A" w:rsidR="002F279F" w:rsidRPr="002F279F" w:rsidRDefault="002F279F" w:rsidP="002F279F">
      <w:pPr>
        <w:ind w:firstLineChars="200" w:firstLine="480"/>
        <w:rPr>
          <w:rFonts w:ascii="仿宋" w:eastAsia="仿宋" w:hAnsi="仿宋"/>
          <w:sz w:val="24"/>
          <w:szCs w:val="24"/>
        </w:rPr>
      </w:pPr>
      <w:r w:rsidRPr="002F279F">
        <w:rPr>
          <w:rFonts w:ascii="仿宋" w:eastAsia="仿宋" w:hAnsi="仿宋"/>
          <w:sz w:val="24"/>
          <w:szCs w:val="24"/>
        </w:rPr>
        <w:t>税务计划是企业合</w:t>
      </w:r>
      <w:proofErr w:type="gramStart"/>
      <w:r w:rsidRPr="002F279F">
        <w:rPr>
          <w:rFonts w:ascii="仿宋" w:eastAsia="仿宋" w:hAnsi="仿宋"/>
          <w:sz w:val="24"/>
          <w:szCs w:val="24"/>
        </w:rPr>
        <w:t>规</w:t>
      </w:r>
      <w:proofErr w:type="gramEnd"/>
      <w:r w:rsidRPr="002F279F">
        <w:rPr>
          <w:rFonts w:ascii="仿宋" w:eastAsia="仿宋" w:hAnsi="仿宋"/>
          <w:sz w:val="24"/>
          <w:szCs w:val="24"/>
        </w:rPr>
        <w:t>管理的重要途径。企业应在遵守法规的基础上，充分利用税收优惠，降低税负。在公司账户方面应注意对款项出入的税务处理方式，如股东借款的同时需要支付利息，符合条件的可在缴纳企业所得税前进行扣除；股东的利息收入，则应按照法律规定缴纳个人所得税。</w:t>
      </w:r>
    </w:p>
    <w:p w14:paraId="7155D90D" w14:textId="77777777" w:rsidR="002F279F" w:rsidRPr="002F279F" w:rsidRDefault="002F279F" w:rsidP="002F279F">
      <w:pPr>
        <w:ind w:firstLineChars="200" w:firstLine="480"/>
        <w:rPr>
          <w:rFonts w:ascii="仿宋" w:eastAsia="仿宋" w:hAnsi="仿宋"/>
          <w:sz w:val="24"/>
          <w:szCs w:val="24"/>
        </w:rPr>
      </w:pPr>
      <w:r w:rsidRPr="002F279F">
        <w:rPr>
          <w:rFonts w:ascii="仿宋" w:eastAsia="仿宋" w:hAnsi="仿宋"/>
          <w:sz w:val="24"/>
          <w:szCs w:val="24"/>
        </w:rPr>
        <w:t>同时，企业应当加强与税务部门的联系与沟通，获取最新的税收政策、税收法律法规等信息，确保企业税务计划的合理合法，通过合理的成本和税务计划，不仅可以提高企业资金使用的有效性，还可以降低税务风险，维持公私账户的平衡，为企业的平稳发展助力。</w:t>
      </w:r>
    </w:p>
    <w:p w14:paraId="20F4D5D8" w14:textId="77777777" w:rsidR="0021353F" w:rsidRPr="002F279F" w:rsidRDefault="0021353F">
      <w:pPr>
        <w:rPr>
          <w:rFonts w:ascii="仿宋" w:eastAsia="仿宋" w:hAnsi="仿宋" w:hint="eastAsia"/>
          <w:sz w:val="24"/>
          <w:szCs w:val="24"/>
        </w:rPr>
      </w:pPr>
    </w:p>
    <w:sectPr w:rsidR="0021353F" w:rsidRPr="002F279F">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16EF9E" w14:textId="77777777" w:rsidR="00F67240" w:rsidRDefault="00F67240" w:rsidP="002F279F">
      <w:pPr>
        <w:rPr>
          <w:rFonts w:hint="eastAsia"/>
        </w:rPr>
      </w:pPr>
      <w:r>
        <w:separator/>
      </w:r>
    </w:p>
  </w:endnote>
  <w:endnote w:type="continuationSeparator" w:id="0">
    <w:p w14:paraId="2CA8F58B" w14:textId="77777777" w:rsidR="00F67240" w:rsidRDefault="00F67240" w:rsidP="002F279F">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89734" w14:textId="77777777" w:rsidR="002F279F" w:rsidRDefault="002F279F">
    <w:pPr>
      <w:pStyle w:val="af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4607998"/>
      <w:docPartObj>
        <w:docPartGallery w:val="Page Numbers (Bottom of Page)"/>
        <w:docPartUnique/>
      </w:docPartObj>
    </w:sdtPr>
    <w:sdtContent>
      <w:p w14:paraId="787261D9" w14:textId="1FE5D7D4" w:rsidR="002F279F" w:rsidRDefault="002F279F">
        <w:pPr>
          <w:pStyle w:val="af0"/>
          <w:jc w:val="right"/>
          <w:rPr>
            <w:rFonts w:hint="eastAsia"/>
          </w:rPr>
        </w:pPr>
        <w:r>
          <w:fldChar w:fldCharType="begin"/>
        </w:r>
        <w:r>
          <w:instrText>PAGE   \* MERGEFORMAT</w:instrText>
        </w:r>
        <w:r>
          <w:fldChar w:fldCharType="separate"/>
        </w:r>
        <w:r>
          <w:rPr>
            <w:lang w:val="zh-CN"/>
          </w:rPr>
          <w:t>2</w:t>
        </w:r>
        <w:r>
          <w:fldChar w:fldCharType="end"/>
        </w:r>
      </w:p>
    </w:sdtContent>
  </w:sdt>
  <w:p w14:paraId="176DB221" w14:textId="77777777" w:rsidR="002F279F" w:rsidRDefault="002F279F">
    <w:pPr>
      <w:pStyle w:val="af0"/>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A56D8" w14:textId="77777777" w:rsidR="002F279F" w:rsidRDefault="002F279F">
    <w:pPr>
      <w:pStyle w:val="af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CD1015" w14:textId="77777777" w:rsidR="00F67240" w:rsidRDefault="00F67240" w:rsidP="002F279F">
      <w:pPr>
        <w:rPr>
          <w:rFonts w:hint="eastAsia"/>
        </w:rPr>
      </w:pPr>
      <w:r>
        <w:separator/>
      </w:r>
    </w:p>
  </w:footnote>
  <w:footnote w:type="continuationSeparator" w:id="0">
    <w:p w14:paraId="39C1E770" w14:textId="77777777" w:rsidR="00F67240" w:rsidRDefault="00F67240" w:rsidP="002F279F">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E09CB" w14:textId="77777777" w:rsidR="002F279F" w:rsidRDefault="002F279F">
    <w:pPr>
      <w:pStyle w:val="ae"/>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4EDDB" w14:textId="77777777" w:rsidR="002F279F" w:rsidRDefault="002F279F">
    <w:pPr>
      <w:pStyle w:val="ae"/>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9E1B8" w14:textId="77777777" w:rsidR="002F279F" w:rsidRDefault="002F279F">
    <w:pPr>
      <w:pStyle w:val="ae"/>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8CB"/>
    <w:rsid w:val="0021353F"/>
    <w:rsid w:val="002F279F"/>
    <w:rsid w:val="003F28B4"/>
    <w:rsid w:val="00421970"/>
    <w:rsid w:val="0084108D"/>
    <w:rsid w:val="00BB38CB"/>
    <w:rsid w:val="00F672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E82C34"/>
  <w15:chartTrackingRefBased/>
  <w15:docId w15:val="{97EA2FA8-92B1-41D4-B80B-4143F6BB3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BB38CB"/>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BB38CB"/>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BB38CB"/>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BB38CB"/>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BB38CB"/>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BB38CB"/>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BB38CB"/>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BB38CB"/>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BB38CB"/>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BB38CB"/>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BB38CB"/>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BB38CB"/>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BB38CB"/>
    <w:rPr>
      <w:rFonts w:cstheme="majorBidi"/>
      <w:color w:val="0F4761" w:themeColor="accent1" w:themeShade="BF"/>
      <w:sz w:val="28"/>
      <w:szCs w:val="28"/>
    </w:rPr>
  </w:style>
  <w:style w:type="character" w:customStyle="1" w:styleId="50">
    <w:name w:val="标题 5 字符"/>
    <w:basedOn w:val="a0"/>
    <w:link w:val="5"/>
    <w:uiPriority w:val="9"/>
    <w:semiHidden/>
    <w:rsid w:val="00BB38CB"/>
    <w:rPr>
      <w:rFonts w:cstheme="majorBidi"/>
      <w:color w:val="0F4761" w:themeColor="accent1" w:themeShade="BF"/>
      <w:sz w:val="24"/>
      <w:szCs w:val="24"/>
    </w:rPr>
  </w:style>
  <w:style w:type="character" w:customStyle="1" w:styleId="60">
    <w:name w:val="标题 6 字符"/>
    <w:basedOn w:val="a0"/>
    <w:link w:val="6"/>
    <w:uiPriority w:val="9"/>
    <w:semiHidden/>
    <w:rsid w:val="00BB38CB"/>
    <w:rPr>
      <w:rFonts w:cstheme="majorBidi"/>
      <w:b/>
      <w:bCs/>
      <w:color w:val="0F4761" w:themeColor="accent1" w:themeShade="BF"/>
    </w:rPr>
  </w:style>
  <w:style w:type="character" w:customStyle="1" w:styleId="70">
    <w:name w:val="标题 7 字符"/>
    <w:basedOn w:val="a0"/>
    <w:link w:val="7"/>
    <w:uiPriority w:val="9"/>
    <w:semiHidden/>
    <w:rsid w:val="00BB38CB"/>
    <w:rPr>
      <w:rFonts w:cstheme="majorBidi"/>
      <w:b/>
      <w:bCs/>
      <w:color w:val="595959" w:themeColor="text1" w:themeTint="A6"/>
    </w:rPr>
  </w:style>
  <w:style w:type="character" w:customStyle="1" w:styleId="80">
    <w:name w:val="标题 8 字符"/>
    <w:basedOn w:val="a0"/>
    <w:link w:val="8"/>
    <w:uiPriority w:val="9"/>
    <w:semiHidden/>
    <w:rsid w:val="00BB38CB"/>
    <w:rPr>
      <w:rFonts w:cstheme="majorBidi"/>
      <w:color w:val="595959" w:themeColor="text1" w:themeTint="A6"/>
    </w:rPr>
  </w:style>
  <w:style w:type="character" w:customStyle="1" w:styleId="90">
    <w:name w:val="标题 9 字符"/>
    <w:basedOn w:val="a0"/>
    <w:link w:val="9"/>
    <w:uiPriority w:val="9"/>
    <w:semiHidden/>
    <w:rsid w:val="00BB38CB"/>
    <w:rPr>
      <w:rFonts w:eastAsiaTheme="majorEastAsia" w:cstheme="majorBidi"/>
      <w:color w:val="595959" w:themeColor="text1" w:themeTint="A6"/>
    </w:rPr>
  </w:style>
  <w:style w:type="paragraph" w:styleId="a3">
    <w:name w:val="Title"/>
    <w:basedOn w:val="a"/>
    <w:next w:val="a"/>
    <w:link w:val="a4"/>
    <w:uiPriority w:val="10"/>
    <w:qFormat/>
    <w:rsid w:val="00BB38CB"/>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BB38C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B38CB"/>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BB38C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BB38CB"/>
    <w:pPr>
      <w:spacing w:before="160" w:after="160"/>
      <w:jc w:val="center"/>
    </w:pPr>
    <w:rPr>
      <w:i/>
      <w:iCs/>
      <w:color w:val="404040" w:themeColor="text1" w:themeTint="BF"/>
    </w:rPr>
  </w:style>
  <w:style w:type="character" w:customStyle="1" w:styleId="a8">
    <w:name w:val="引用 字符"/>
    <w:basedOn w:val="a0"/>
    <w:link w:val="a7"/>
    <w:uiPriority w:val="29"/>
    <w:rsid w:val="00BB38CB"/>
    <w:rPr>
      <w:i/>
      <w:iCs/>
      <w:color w:val="404040" w:themeColor="text1" w:themeTint="BF"/>
    </w:rPr>
  </w:style>
  <w:style w:type="paragraph" w:styleId="a9">
    <w:name w:val="List Paragraph"/>
    <w:basedOn w:val="a"/>
    <w:uiPriority w:val="34"/>
    <w:qFormat/>
    <w:rsid w:val="00BB38CB"/>
    <w:pPr>
      <w:ind w:left="720"/>
      <w:contextualSpacing/>
    </w:pPr>
  </w:style>
  <w:style w:type="character" w:styleId="aa">
    <w:name w:val="Intense Emphasis"/>
    <w:basedOn w:val="a0"/>
    <w:uiPriority w:val="21"/>
    <w:qFormat/>
    <w:rsid w:val="00BB38CB"/>
    <w:rPr>
      <w:i/>
      <w:iCs/>
      <w:color w:val="0F4761" w:themeColor="accent1" w:themeShade="BF"/>
    </w:rPr>
  </w:style>
  <w:style w:type="paragraph" w:styleId="ab">
    <w:name w:val="Intense Quote"/>
    <w:basedOn w:val="a"/>
    <w:next w:val="a"/>
    <w:link w:val="ac"/>
    <w:uiPriority w:val="30"/>
    <w:qFormat/>
    <w:rsid w:val="00BB38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BB38CB"/>
    <w:rPr>
      <w:i/>
      <w:iCs/>
      <w:color w:val="0F4761" w:themeColor="accent1" w:themeShade="BF"/>
    </w:rPr>
  </w:style>
  <w:style w:type="character" w:styleId="ad">
    <w:name w:val="Intense Reference"/>
    <w:basedOn w:val="a0"/>
    <w:uiPriority w:val="32"/>
    <w:qFormat/>
    <w:rsid w:val="00BB38CB"/>
    <w:rPr>
      <w:b/>
      <w:bCs/>
      <w:smallCaps/>
      <w:color w:val="0F4761" w:themeColor="accent1" w:themeShade="BF"/>
      <w:spacing w:val="5"/>
    </w:rPr>
  </w:style>
  <w:style w:type="paragraph" w:styleId="ae">
    <w:name w:val="header"/>
    <w:basedOn w:val="a"/>
    <w:link w:val="af"/>
    <w:uiPriority w:val="99"/>
    <w:unhideWhenUsed/>
    <w:rsid w:val="002F279F"/>
    <w:pPr>
      <w:tabs>
        <w:tab w:val="center" w:pos="4153"/>
        <w:tab w:val="right" w:pos="8306"/>
      </w:tabs>
      <w:snapToGrid w:val="0"/>
      <w:jc w:val="center"/>
    </w:pPr>
    <w:rPr>
      <w:sz w:val="18"/>
      <w:szCs w:val="18"/>
    </w:rPr>
  </w:style>
  <w:style w:type="character" w:customStyle="1" w:styleId="af">
    <w:name w:val="页眉 字符"/>
    <w:basedOn w:val="a0"/>
    <w:link w:val="ae"/>
    <w:uiPriority w:val="99"/>
    <w:rsid w:val="002F279F"/>
    <w:rPr>
      <w:sz w:val="18"/>
      <w:szCs w:val="18"/>
    </w:rPr>
  </w:style>
  <w:style w:type="paragraph" w:styleId="af0">
    <w:name w:val="footer"/>
    <w:basedOn w:val="a"/>
    <w:link w:val="af1"/>
    <w:uiPriority w:val="99"/>
    <w:unhideWhenUsed/>
    <w:rsid w:val="002F279F"/>
    <w:pPr>
      <w:tabs>
        <w:tab w:val="center" w:pos="4153"/>
        <w:tab w:val="right" w:pos="8306"/>
      </w:tabs>
      <w:snapToGrid w:val="0"/>
      <w:jc w:val="left"/>
    </w:pPr>
    <w:rPr>
      <w:sz w:val="18"/>
      <w:szCs w:val="18"/>
    </w:rPr>
  </w:style>
  <w:style w:type="character" w:customStyle="1" w:styleId="af1">
    <w:name w:val="页脚 字符"/>
    <w:basedOn w:val="a0"/>
    <w:link w:val="af0"/>
    <w:uiPriority w:val="99"/>
    <w:rsid w:val="002F279F"/>
    <w:rPr>
      <w:sz w:val="18"/>
      <w:szCs w:val="18"/>
    </w:rPr>
  </w:style>
  <w:style w:type="character" w:styleId="af2">
    <w:name w:val="Hyperlink"/>
    <w:basedOn w:val="a0"/>
    <w:uiPriority w:val="99"/>
    <w:unhideWhenUsed/>
    <w:rsid w:val="002F279F"/>
    <w:rPr>
      <w:color w:val="467886" w:themeColor="hyperlink"/>
      <w:u w:val="single"/>
    </w:rPr>
  </w:style>
  <w:style w:type="character" w:styleId="af3">
    <w:name w:val="Unresolved Mention"/>
    <w:basedOn w:val="a0"/>
    <w:uiPriority w:val="99"/>
    <w:semiHidden/>
    <w:unhideWhenUsed/>
    <w:rsid w:val="002F27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hyperlink" Target="https://mp.weixin.qq.com/s?__biz=MzA4MzAzMjA4Nw==&amp;mid=2652808847&amp;idx=3&amp;sn=53939aa029cc840ef67e83305ad45ab2&amp;scene=21" TargetMode="External"/><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2855</Words>
  <Characters>3027</Characters>
  <Application>Microsoft Office Word</Application>
  <DocSecurity>0</DocSecurity>
  <Lines>131</Lines>
  <Paragraphs>70</Paragraphs>
  <ScaleCrop>false</ScaleCrop>
  <Company/>
  <LinksUpToDate>false</LinksUpToDate>
  <CharactersWithSpaces>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磊 桂</dc:creator>
  <cp:keywords/>
  <dc:description/>
  <cp:lastModifiedBy>磊 桂</cp:lastModifiedBy>
  <cp:revision>2</cp:revision>
  <dcterms:created xsi:type="dcterms:W3CDTF">2026-05-02T06:47:00Z</dcterms:created>
  <dcterms:modified xsi:type="dcterms:W3CDTF">2026-05-02T06:53:00Z</dcterms:modified>
</cp:coreProperties>
</file>