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4307" w14:textId="77777777" w:rsidR="00220511" w:rsidRDefault="00000000">
      <w:pPr>
        <w:jc w:val="center"/>
        <w:rPr>
          <w:b/>
          <w:bCs/>
          <w:sz w:val="32"/>
          <w:szCs w:val="32"/>
        </w:rPr>
      </w:pPr>
      <w:r>
        <w:rPr>
          <w:b/>
          <w:bCs/>
          <w:sz w:val="32"/>
          <w:szCs w:val="32"/>
        </w:rPr>
        <w:t>境外上市备案新规：境内企业应如何应对？</w:t>
      </w:r>
    </w:p>
    <w:p w14:paraId="147D2F60" w14:textId="77777777" w:rsidR="00220511" w:rsidRDefault="00000000">
      <w:pPr>
        <w:jc w:val="center"/>
      </w:pPr>
      <w:r>
        <w:t>所在单位：</w:t>
      </w:r>
      <w:r w:rsidR="007451CE">
        <w:rPr>
          <w:rFonts w:hint="eastAsia"/>
        </w:rPr>
        <w:t>上海道朋</w:t>
      </w:r>
      <w:r>
        <w:t>律师事务所</w:t>
      </w:r>
    </w:p>
    <w:p w14:paraId="218F2276" w14:textId="77777777" w:rsidR="00220511" w:rsidRDefault="00000000">
      <w:pPr>
        <w:jc w:val="center"/>
      </w:pPr>
      <w:r>
        <w:t>作者：云敬欢律师</w:t>
      </w:r>
    </w:p>
    <w:p w14:paraId="54159CC1" w14:textId="77777777" w:rsidR="00220511" w:rsidRDefault="00000000">
      <w:pPr>
        <w:ind w:firstLineChars="200" w:firstLine="482"/>
      </w:pPr>
      <w:r>
        <w:rPr>
          <w:b/>
          <w:bCs/>
        </w:rPr>
        <w:t>一、发布背景</w:t>
      </w:r>
    </w:p>
    <w:p w14:paraId="5C2B87D4" w14:textId="77777777" w:rsidR="00220511" w:rsidRDefault="00000000">
      <w:pPr>
        <w:ind w:firstLineChars="200" w:firstLine="480"/>
      </w:pPr>
      <w:r>
        <w:t>中国证券监督管理委员会于</w:t>
      </w:r>
      <w:r>
        <w:t>2023</w:t>
      </w:r>
      <w:r>
        <w:t>年</w:t>
      </w:r>
      <w:r>
        <w:t>2</w:t>
      </w:r>
      <w:r>
        <w:t>月</w:t>
      </w:r>
      <w:r>
        <w:t>17</w:t>
      </w:r>
      <w:r>
        <w:t>日发布了《境内企业境外发行证券和上市管理试行办法》（以下简称</w:t>
      </w:r>
      <w:r>
        <w:t>"</w:t>
      </w:r>
      <w:r>
        <w:t>《办法》</w:t>
      </w:r>
      <w:r>
        <w:t>"</w:t>
      </w:r>
      <w:r>
        <w:t>），并于</w:t>
      </w:r>
      <w:r>
        <w:t>2023</w:t>
      </w:r>
      <w:r>
        <w:t>年</w:t>
      </w:r>
      <w:r>
        <w:t>3</w:t>
      </w:r>
      <w:r>
        <w:t>月</w:t>
      </w:r>
      <w:r>
        <w:t>31</w:t>
      </w:r>
      <w:r>
        <w:t>日正式生效执行。《办法》的出台，标志着境内企业境外发行上市正式进入统一备案制度的新时代，终结了此前各监管机构分散审批、规则不统一的历史格局。</w:t>
      </w:r>
    </w:p>
    <w:p w14:paraId="0D06C98E" w14:textId="77777777" w:rsidR="00220511" w:rsidRDefault="00000000">
      <w:pPr>
        <w:ind w:firstLineChars="200" w:firstLine="480"/>
      </w:pPr>
      <w:r>
        <w:t>在《办法》生效之前，境内企业境外发行上市所适用的监管框架长期处于分散状态。本次改革以证监会为统一归口，将直接和间接境外上市行为均纳入备案管理范围，并配套发布了相应指引文件，为中介机构和拟上市企业提供了更清晰的操作路径。</w:t>
      </w:r>
    </w:p>
    <w:p w14:paraId="586EF186" w14:textId="77777777" w:rsidR="00220511" w:rsidRDefault="00000000">
      <w:pPr>
        <w:ind w:firstLineChars="200" w:firstLine="480"/>
      </w:pPr>
      <w:r>
        <w:t>《办法》生效后，各大中介机构（包括投行、审计师事务所、律师事务所等）和广大拟上市企业纷纷高度关注。本文从企业普遍关注的五大实务问题出发，梳理《办法》的核心要求及应对建议，以供参考。</w:t>
      </w:r>
    </w:p>
    <w:p w14:paraId="33349093" w14:textId="77777777" w:rsidR="00220511" w:rsidRDefault="00000000">
      <w:pPr>
        <w:ind w:firstLineChars="200" w:firstLine="482"/>
      </w:pPr>
      <w:r>
        <w:rPr>
          <w:b/>
          <w:bCs/>
        </w:rPr>
        <w:t>二、核心要点及分析</w:t>
      </w:r>
    </w:p>
    <w:p w14:paraId="029B2AA7" w14:textId="77777777" w:rsidR="00220511" w:rsidRDefault="00000000">
      <w:pPr>
        <w:ind w:firstLineChars="200" w:firstLine="482"/>
      </w:pPr>
      <w:r>
        <w:rPr>
          <w:b/>
          <w:bCs/>
        </w:rPr>
        <w:t>（一）备案适用范围：哪些企业需要备案</w:t>
      </w:r>
    </w:p>
    <w:p w14:paraId="15BFF494" w14:textId="77777777" w:rsidR="00220511" w:rsidRDefault="00000000">
      <w:pPr>
        <w:ind w:firstLineChars="200" w:firstLine="480"/>
      </w:pPr>
      <w:r>
        <w:t>根据《办法》规定，以下两类境内企业境外发行上市行为均需向证监会办理备案：一是境内企业直接境外发行上市，即境内登记设立的股份有限公司直接在境外发行上市；二是境内企业间接境外发行上市，即主要经营活动在境内的企业，以在境外注册的企业名义，基于境内企业的股权、资产、收益或其他类似权益在境外发行上市。</w:t>
      </w:r>
    </w:p>
    <w:p w14:paraId="0016962F" w14:textId="77777777" w:rsidR="00220511" w:rsidRDefault="00000000">
      <w:pPr>
        <w:ind w:firstLineChars="200" w:firstLine="480"/>
      </w:pPr>
      <w:r>
        <w:t>对于</w:t>
      </w:r>
      <w:r>
        <w:t>"</w:t>
      </w:r>
      <w:r>
        <w:t>间接境外上市</w:t>
      </w:r>
      <w:r>
        <w:t>"</w:t>
      </w:r>
      <w:r>
        <w:t>场景中</w:t>
      </w:r>
      <w:r>
        <w:t>"</w:t>
      </w:r>
      <w:r>
        <w:t>境内企业</w:t>
      </w:r>
      <w:r>
        <w:t>"</w:t>
      </w:r>
      <w:r>
        <w:t>的认定，《办法》强调</w:t>
      </w:r>
      <w:r>
        <w:t>"</w:t>
      </w:r>
      <w:r>
        <w:t>实质重于形式</w:t>
      </w:r>
      <w:r>
        <w:t>"</w:t>
      </w:r>
      <w:r>
        <w:t>原则。根据第十五条第一款规定，发行人同时满足以下两项条件的，将被认定为境内企业间接境外发行上市：其一，境内企业最近一个会计年度的营业收入、利润总额、总资产或净资产，任一指标占发行人同期经审计合并财务报表相关数据的比例超过</w:t>
      </w:r>
      <w:r>
        <w:lastRenderedPageBreak/>
        <w:t>50%</w:t>
      </w:r>
      <w:r>
        <w:t>；其二，经营活动的主要环节在境内开展或主要场所位于境内，或负责经营管理的高级管理人员多数为中国公民或经常居住地位于境内。</w:t>
      </w:r>
    </w:p>
    <w:p w14:paraId="7D8C26F8" w14:textId="77777777" w:rsidR="00220511" w:rsidRDefault="00000000">
      <w:pPr>
        <w:ind w:firstLineChars="200" w:firstLine="480"/>
      </w:pPr>
      <w:r>
        <w:t>对于不属于上述情形但在境外市场按照</w:t>
      </w:r>
      <w:r>
        <w:t>"</w:t>
      </w:r>
      <w:r>
        <w:t>非本国（或地区）发行人</w:t>
      </w:r>
      <w:r>
        <w:t>"</w:t>
      </w:r>
      <w:r>
        <w:t>有关规定提交发行上市申请，且依规定披露的风险因素主要与境内相关的，证券公司和发行人境内律师应就发行人是否属于备案范围进行综合论证与识别。</w:t>
      </w:r>
    </w:p>
    <w:p w14:paraId="04BFE425" w14:textId="77777777" w:rsidR="00220511" w:rsidRDefault="00000000">
      <w:pPr>
        <w:ind w:firstLineChars="200" w:firstLine="482"/>
      </w:pPr>
      <w:r>
        <w:rPr>
          <w:b/>
          <w:bCs/>
        </w:rPr>
        <w:t>（二）不同阶段企业的备案要求</w:t>
      </w:r>
    </w:p>
    <w:p w14:paraId="50A01DDB" w14:textId="77777777" w:rsidR="00220511" w:rsidRDefault="00000000">
      <w:pPr>
        <w:ind w:firstLineChars="200" w:firstLine="480"/>
      </w:pPr>
      <w:r>
        <w:t>以</w:t>
      </w:r>
      <w:r>
        <w:t>2023</w:t>
      </w:r>
      <w:r>
        <w:t>年</w:t>
      </w:r>
      <w:r>
        <w:t>3</w:t>
      </w:r>
      <w:r>
        <w:t>月</w:t>
      </w:r>
      <w:r>
        <w:t>31</w:t>
      </w:r>
      <w:r>
        <w:t>日为分水岭，《办法》对处于不同阶段的企业设置了差异化的备案要求，具体分为以下两大类：</w:t>
      </w:r>
    </w:p>
    <w:p w14:paraId="29A6402A" w14:textId="77777777" w:rsidR="00220511" w:rsidRDefault="00000000">
      <w:pPr>
        <w:ind w:firstLineChars="200" w:firstLine="480"/>
      </w:pPr>
      <w:r>
        <w:t>第一类，尚未完成发行上市的企业。需要备案的情形包括：</w:t>
      </w:r>
      <w:r>
        <w:t>2023</w:t>
      </w:r>
      <w:r>
        <w:t>年</w:t>
      </w:r>
      <w:r>
        <w:t>3</w:t>
      </w:r>
      <w:r>
        <w:t>月</w:t>
      </w:r>
      <w:r>
        <w:t>31</w:t>
      </w:r>
      <w:r>
        <w:t>日后提交境外上市申请的；或</w:t>
      </w:r>
      <w:r>
        <w:t>2023</w:t>
      </w:r>
      <w:r>
        <w:t>年</w:t>
      </w:r>
      <w:r>
        <w:t>3</w:t>
      </w:r>
      <w:r>
        <w:t>月</w:t>
      </w:r>
      <w:r>
        <w:t>31</w:t>
      </w:r>
      <w:r>
        <w:t>日之前已提交上市申请但未获境外监管机构或交易所同意的。无需立即备案的情形为：</w:t>
      </w:r>
      <w:r>
        <w:t>2023</w:t>
      </w:r>
      <w:r>
        <w:t>年</w:t>
      </w:r>
      <w:r>
        <w:t>3</w:t>
      </w:r>
      <w:r>
        <w:t>月</w:t>
      </w:r>
      <w:r>
        <w:t>31</w:t>
      </w:r>
      <w:r>
        <w:t>日之前已获境外监管机构或交易所同意，且无需重新履行境外监管程序并于</w:t>
      </w:r>
      <w:r>
        <w:t>2023</w:t>
      </w:r>
      <w:r>
        <w:t>年</w:t>
      </w:r>
      <w:r>
        <w:t>9</w:t>
      </w:r>
      <w:r>
        <w:t>月</w:t>
      </w:r>
      <w:r>
        <w:t>30</w:t>
      </w:r>
      <w:r>
        <w:t>日前完成上市的。</w:t>
      </w:r>
    </w:p>
    <w:p w14:paraId="69F84A6C" w14:textId="77777777" w:rsidR="00220511" w:rsidRDefault="00000000">
      <w:pPr>
        <w:ind w:firstLineChars="200" w:firstLine="480"/>
      </w:pPr>
      <w:r>
        <w:t>第二类，已完成首次发行上市的存量企业。需要备案的情形包括：在其他境外市场进行二次上市或主要上市的。无需备案的情形为：在境外市场转换上市地位（如从二次上市转为双重主要上市）或转换上市板块，且不涉及发行股份的。对于存量企业，通常无需立即备案，但后续如涉及再融资等事项时，应按《办法》要求办理备案。</w:t>
      </w:r>
    </w:p>
    <w:p w14:paraId="754BEFCA" w14:textId="77777777" w:rsidR="00220511" w:rsidRDefault="00000000">
      <w:pPr>
        <w:ind w:firstLineChars="200" w:firstLine="480"/>
      </w:pPr>
      <w:r>
        <w:t>需要特别注意的是，如发行人从境外交易所退市（包括退至场外市场）后，拟重新境外发行上市的，应按照境外首次公开发行的标准办理备案。</w:t>
      </w:r>
    </w:p>
    <w:p w14:paraId="7D3B216C" w14:textId="77777777" w:rsidR="00220511" w:rsidRDefault="00000000">
      <w:pPr>
        <w:ind w:firstLineChars="200" w:firstLine="482"/>
      </w:pPr>
      <w:r>
        <w:rPr>
          <w:b/>
          <w:bCs/>
        </w:rPr>
        <w:t>（三）</w:t>
      </w:r>
      <w:r>
        <w:rPr>
          <w:b/>
          <w:bCs/>
        </w:rPr>
        <w:t>VIE</w:t>
      </w:r>
      <w:r>
        <w:rPr>
          <w:b/>
          <w:bCs/>
        </w:rPr>
        <w:t>架构企业的备案路径</w:t>
      </w:r>
    </w:p>
    <w:p w14:paraId="607E34FA" w14:textId="77777777" w:rsidR="00220511" w:rsidRDefault="00000000">
      <w:pPr>
        <w:ind w:firstLineChars="200" w:firstLine="480"/>
      </w:pPr>
      <w:r>
        <w:t>证监会在答记者问中明确表示，将</w:t>
      </w:r>
      <w:r>
        <w:t>"</w:t>
      </w:r>
      <w:r>
        <w:t>征求有关主管部门意见，对满足合规要求的</w:t>
      </w:r>
      <w:r>
        <w:t>VIE</w:t>
      </w:r>
      <w:r>
        <w:t>架构企业境外上市予以备案</w:t>
      </w:r>
      <w:r>
        <w:t>"</w:t>
      </w:r>
      <w:r>
        <w:t>，释放了积极信号。但</w:t>
      </w:r>
      <w:r>
        <w:t>VIE</w:t>
      </w:r>
      <w:r>
        <w:t>架构企业能否顺利完成备案，仍需在满足合规要求的前提下，落实指引文件的核查要求。</w:t>
      </w:r>
    </w:p>
    <w:p w14:paraId="64C347B0" w14:textId="77777777" w:rsidR="00220511" w:rsidRDefault="00000000">
      <w:pPr>
        <w:ind w:firstLineChars="200" w:firstLine="480"/>
      </w:pPr>
      <w:r>
        <w:t>具体而言，发行人需要在备案文件中说明协议控制架构搭建的原因及具体安排，可能引发的控制权风险、相关主体违约风险、税务风险，以及相应的风险应对措施。同时，要求发行人境内律师就以下三个方面进行核查说明：（</w:t>
      </w:r>
      <w:r>
        <w:t>1</w:t>
      </w:r>
      <w:r>
        <w:t>）境外投资者参与发行人经营管理的情况；（</w:t>
      </w:r>
      <w:r>
        <w:t>2</w:t>
      </w:r>
      <w:r>
        <w:t>）是否存在法律法规明确不得采取协议安排控制的业务、牌照</w:t>
      </w:r>
      <w:r>
        <w:lastRenderedPageBreak/>
        <w:t>或资质等情形；（</w:t>
      </w:r>
      <w:r>
        <w:t>3</w:t>
      </w:r>
      <w:r>
        <w:t>）通过协议控制架构控制的境内运营主体是否属于外商投资安全审查范围，是否涉及外商投资限制或禁止领域。</w:t>
      </w:r>
    </w:p>
    <w:p w14:paraId="32A22838" w14:textId="77777777" w:rsidR="00220511" w:rsidRDefault="00000000">
      <w:pPr>
        <w:ind w:firstLineChars="200" w:firstLine="480"/>
      </w:pPr>
      <w:r>
        <w:t>就目前来看，不同行业主管部门及相关政府部门对于协议控制架构合规性的判断标准，仍有待进一步实践检验和监管明确。</w:t>
      </w:r>
    </w:p>
    <w:p w14:paraId="11EDBACC" w14:textId="77777777" w:rsidR="00220511" w:rsidRDefault="00000000">
      <w:pPr>
        <w:ind w:firstLineChars="200" w:firstLine="482"/>
      </w:pPr>
      <w:r>
        <w:rPr>
          <w:b/>
          <w:bCs/>
        </w:rPr>
        <w:t>（四）股东穿透核查要求</w:t>
      </w:r>
    </w:p>
    <w:p w14:paraId="6823DE67" w14:textId="77777777" w:rsidR="00220511" w:rsidRDefault="00000000">
      <w:pPr>
        <w:ind w:firstLineChars="200" w:firstLine="480"/>
      </w:pPr>
      <w:r>
        <w:t>《办法》在境外上市备案中首次明确引入了股东穿透核查要求，一定程度上参照了</w:t>
      </w:r>
      <w:r>
        <w:t>A</w:t>
      </w:r>
      <w:r>
        <w:t>股的审核惯例。根据规定，实际控制人应穿透至最终的国有控股或管理主体、集体组织、自然人等层面；无控股股东及实际控制人的，参照实际控股股东和实际控制人要求说明第一大股东及对发行人有重大影响的股东情况。</w:t>
      </w:r>
    </w:p>
    <w:p w14:paraId="4317FB65" w14:textId="77777777" w:rsidR="00220511" w:rsidRDefault="00000000">
      <w:pPr>
        <w:ind w:firstLineChars="200" w:firstLine="480"/>
      </w:pPr>
      <w:r>
        <w:t>持有</w:t>
      </w:r>
      <w:r>
        <w:t>5%</w:t>
      </w:r>
      <w:r>
        <w:t>以上股份或表决权的主要股东，需穿透至自然人、上市公司、新三板挂牌公司等公众公司、国有控股或管理主体、集体组织、境外政府投资基金、大学捐赠基金、养老基金、公益基金及公募资产管理产品。</w:t>
      </w:r>
    </w:p>
    <w:p w14:paraId="0A1433B4" w14:textId="77777777" w:rsidR="00220511" w:rsidRDefault="00000000">
      <w:pPr>
        <w:ind w:firstLineChars="200" w:firstLine="480"/>
      </w:pPr>
      <w:r>
        <w:t>在境外私募基金为发行人主要股东的常见情形下，若其不属于单纯以持股为目的的持股平台且入股价格无明显异常，可不穿透；但其出资人、执行事务合伙人或实际控制人中存在境内主体（包括法人、具有中国国籍的自然人和非法人组织）的，则应穿透说明相关情况。</w:t>
      </w:r>
    </w:p>
    <w:p w14:paraId="441023FB" w14:textId="77777777" w:rsidR="00220511" w:rsidRDefault="00000000">
      <w:pPr>
        <w:ind w:firstLineChars="200" w:firstLine="480"/>
      </w:pPr>
      <w:r>
        <w:t>由于这是《办法》首次对股东穿透提出系统性要求，企业在备案前应充分预估该项工作所需时间和可能遇到的困难，尤其是股东身份特殊或对穿透核查存在敏感情况的，应提前做好安排，以免影响上市进程。</w:t>
      </w:r>
    </w:p>
    <w:p w14:paraId="3A4138BD" w14:textId="77777777" w:rsidR="00220511" w:rsidRDefault="00000000">
      <w:pPr>
        <w:ind w:firstLineChars="200" w:firstLine="482"/>
      </w:pPr>
      <w:r>
        <w:rPr>
          <w:b/>
          <w:bCs/>
        </w:rPr>
        <w:t>（五）股份代持情况的处理</w:t>
      </w:r>
    </w:p>
    <w:p w14:paraId="732A7B5B" w14:textId="77777777" w:rsidR="00220511" w:rsidRDefault="00000000">
      <w:pPr>
        <w:ind w:firstLineChars="200" w:firstLine="480"/>
      </w:pPr>
      <w:r>
        <w:t>备案新规下，发行人如存在股份代持等情形，发行人境内律师应对股份代持的形成原因、演变情况、合法合规性、是否存在纠纷或潜在纠纷，以及是否存在法律法规规定禁止持股的主体直接或间接持有发行人股份等问题进行全面核查，并出具明确的结论性法律意见。</w:t>
      </w:r>
    </w:p>
    <w:p w14:paraId="3FCB43F3" w14:textId="77777777" w:rsidR="00220511" w:rsidRDefault="00000000">
      <w:pPr>
        <w:ind w:firstLineChars="200" w:firstLine="480"/>
      </w:pPr>
      <w:r>
        <w:t>参考</w:t>
      </w:r>
      <w:r>
        <w:t>A</w:t>
      </w:r>
      <w:r>
        <w:t>股对股权清晰稳定的一贯审核要求，证监会对股份代持历来持谨慎态度。对于在备案文件中如实披露代持情形但未完成还原或清理的境内企业，能否顺利完成境外上市备案，目前尚无明确的监管口径，有待进一步观察。</w:t>
      </w:r>
    </w:p>
    <w:p w14:paraId="73FA9EB6" w14:textId="77777777" w:rsidR="00220511" w:rsidRDefault="00000000">
      <w:pPr>
        <w:ind w:firstLineChars="200" w:firstLine="482"/>
      </w:pPr>
      <w:r>
        <w:rPr>
          <w:b/>
          <w:bCs/>
        </w:rPr>
        <w:lastRenderedPageBreak/>
        <w:t>三、影响评估</w:t>
      </w:r>
    </w:p>
    <w:p w14:paraId="70A7995C" w14:textId="77777777" w:rsidR="00220511" w:rsidRDefault="00000000">
      <w:pPr>
        <w:ind w:firstLineChars="200" w:firstLine="482"/>
      </w:pPr>
      <w:r>
        <w:rPr>
          <w:b/>
          <w:bCs/>
        </w:rPr>
        <w:t>（一）受影响行业及主体</w:t>
      </w:r>
    </w:p>
    <w:p w14:paraId="68B35854" w14:textId="77777777" w:rsidR="00220511" w:rsidRDefault="00000000">
      <w:pPr>
        <w:ind w:firstLineChars="200" w:firstLine="480"/>
      </w:pPr>
      <w:r>
        <w:t>《办法》生效后，受到直接影响的主体涵盖：计划在美国、香港、英国、新加坡等境外市场发行上市的境内企业，以及采用</w:t>
      </w:r>
      <w:r>
        <w:t>VIE</w:t>
      </w:r>
      <w:r>
        <w:t>协议控制架构、涉及境外私募股权投资的拟上市公司。在行业层面，互联网、科技、教育、新能源、医疗健康等此前活跃于境外资本市场的行业，以及参与</w:t>
      </w:r>
      <w:r>
        <w:t>"</w:t>
      </w:r>
      <w:r>
        <w:t>一带一路</w:t>
      </w:r>
      <w:r>
        <w:t>"</w:t>
      </w:r>
      <w:r>
        <w:t>建设的出海企业，均应重点关注《办法》的适用要求。</w:t>
      </w:r>
    </w:p>
    <w:p w14:paraId="43507CBC" w14:textId="77777777" w:rsidR="00220511" w:rsidRDefault="00000000">
      <w:pPr>
        <w:ind w:firstLineChars="200" w:firstLine="482"/>
      </w:pPr>
      <w:r>
        <w:rPr>
          <w:b/>
          <w:bCs/>
        </w:rPr>
        <w:t>（二）合规挑战与时间压力</w:t>
      </w:r>
    </w:p>
    <w:p w14:paraId="01CE198F" w14:textId="77777777" w:rsidR="00220511" w:rsidRDefault="00000000">
      <w:pPr>
        <w:ind w:firstLineChars="200" w:firstLine="480"/>
      </w:pPr>
      <w:r>
        <w:t>《办法》带来的合规挑战主要体现在以下几个方面：一是备案时间线的管理，企业需将备案材料准备周期纳入整体上市计划，避免因备案延误影响上市时间表；二是股东穿透核查的工作量，部分多轮融资、股权结构复杂的企业可能面临较长的整理周期；三是</w:t>
      </w:r>
      <w:r>
        <w:t>VIE</w:t>
      </w:r>
      <w:r>
        <w:t>架构企业需在监管不确定性下寻求主管部门的明确意见；四是发行人境内律师需承担更高的核查责任和出具结论性意见的压力。</w:t>
      </w:r>
    </w:p>
    <w:p w14:paraId="5AB72D95" w14:textId="77777777" w:rsidR="00220511" w:rsidRDefault="00000000">
      <w:pPr>
        <w:ind w:firstLineChars="200" w:firstLine="482"/>
      </w:pPr>
      <w:r>
        <w:rPr>
          <w:b/>
          <w:bCs/>
        </w:rPr>
        <w:t>（三）对拟上市企业的建议</w:t>
      </w:r>
    </w:p>
    <w:p w14:paraId="405C9488" w14:textId="77777777" w:rsidR="00220511" w:rsidRDefault="00000000">
      <w:pPr>
        <w:ind w:firstLineChars="200" w:firstLine="480"/>
      </w:pPr>
      <w:r>
        <w:t>第一，尽早启动备案准备。无论是首次上市还是二次上市，企业应在启动境外上市程序之前，提前与境内律师就备案范围认定、材料清单及工作时间表进行系统梳理，预留充足的时间窗口。</w:t>
      </w:r>
    </w:p>
    <w:p w14:paraId="3ABB095C" w14:textId="77777777" w:rsidR="00220511" w:rsidRDefault="00000000">
      <w:pPr>
        <w:ind w:firstLineChars="200" w:firstLine="480"/>
      </w:pPr>
      <w:r>
        <w:t>第二，提前完成股权清理。企业应对现有股权结构进行全面梳理，重点排查股份代持、穿透核查异常、股东身份限制等情形，必要时在备案前完成相应的股权调整和清理工作。</w:t>
      </w:r>
    </w:p>
    <w:p w14:paraId="3462F41A" w14:textId="77777777" w:rsidR="00220511" w:rsidRDefault="00000000">
      <w:pPr>
        <w:ind w:firstLineChars="200" w:firstLine="480"/>
      </w:pPr>
      <w:r>
        <w:t>第三，</w:t>
      </w:r>
      <w:r>
        <w:t>VIE</w:t>
      </w:r>
      <w:r>
        <w:t>架构企业应加强与监管部门的沟通。鉴于目前各行业主管部门对</w:t>
      </w:r>
      <w:r>
        <w:t>VIE</w:t>
      </w:r>
      <w:r>
        <w:t>合规性的判断尺度尚不统一，</w:t>
      </w:r>
      <w:r>
        <w:t>VIE</w:t>
      </w:r>
      <w:r>
        <w:t>架构企业应及早与主管部门保持沟通，并在专业律师的协助下全面评估合规风险并制定应对预案。</w:t>
      </w:r>
    </w:p>
    <w:p w14:paraId="533B4F94" w14:textId="77777777" w:rsidR="00220511" w:rsidRDefault="00000000">
      <w:pPr>
        <w:ind w:firstLineChars="200" w:firstLine="480"/>
      </w:pPr>
      <w:r>
        <w:t>第四，审慎对待存量企业的再融资安排。已完成境外上市的存量企业在涉及再融资等后续事项时，应及时关注《办法》的备案要求，避免因未及时备案而引发合规风险。</w:t>
      </w:r>
    </w:p>
    <w:sectPr w:rsidR="00220511">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7D4D" w14:textId="77777777" w:rsidR="00196E0C" w:rsidRDefault="00196E0C">
      <w:pPr>
        <w:spacing w:before="0" w:after="0" w:line="240" w:lineRule="auto"/>
      </w:pPr>
      <w:r>
        <w:separator/>
      </w:r>
    </w:p>
  </w:endnote>
  <w:endnote w:type="continuationSeparator" w:id="0">
    <w:p w14:paraId="6528A44D" w14:textId="77777777" w:rsidR="00196E0C" w:rsidRDefault="00196E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DE2A" w14:textId="77777777" w:rsidR="003C5781" w:rsidRDefault="00000000">
    <w:pPr>
      <w:jc w:val="center"/>
    </w:pPr>
    <w:r>
      <w:fldChar w:fldCharType="begin"/>
    </w:r>
    <w:r>
      <w:instrText>PAGE</w:instrText>
    </w:r>
    <w:r>
      <w:fldChar w:fldCharType="separate"/>
    </w:r>
    <w:r>
      <w:t>1</w:t>
    </w:r>
    <w:r>
      <w:fldChar w:fldCharType="end"/>
    </w:r>
    <w:r>
      <w:t xml:space="preserve"> /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EF5B9" w14:textId="77777777" w:rsidR="00196E0C" w:rsidRDefault="00196E0C">
      <w:pPr>
        <w:spacing w:before="0" w:after="0" w:line="240" w:lineRule="auto"/>
      </w:pPr>
      <w:r>
        <w:separator/>
      </w:r>
    </w:p>
  </w:footnote>
  <w:footnote w:type="continuationSeparator" w:id="0">
    <w:p w14:paraId="0FE3D865" w14:textId="77777777" w:rsidR="00196E0C" w:rsidRDefault="00196E0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436D0"/>
    <w:multiLevelType w:val="hybridMultilevel"/>
    <w:tmpl w:val="1D408EE4"/>
    <w:lvl w:ilvl="0" w:tplc="315604B6">
      <w:start w:val="1"/>
      <w:numFmt w:val="bullet"/>
      <w:lvlText w:val="●"/>
      <w:lvlJc w:val="left"/>
      <w:pPr>
        <w:ind w:left="720" w:hanging="360"/>
      </w:pPr>
    </w:lvl>
    <w:lvl w:ilvl="1" w:tplc="2138B954">
      <w:start w:val="1"/>
      <w:numFmt w:val="bullet"/>
      <w:lvlText w:val="○"/>
      <w:lvlJc w:val="left"/>
      <w:pPr>
        <w:ind w:left="1440" w:hanging="360"/>
      </w:pPr>
    </w:lvl>
    <w:lvl w:ilvl="2" w:tplc="6DA0299A">
      <w:start w:val="1"/>
      <w:numFmt w:val="bullet"/>
      <w:lvlText w:val="■"/>
      <w:lvlJc w:val="left"/>
      <w:pPr>
        <w:ind w:left="2160" w:hanging="360"/>
      </w:pPr>
    </w:lvl>
    <w:lvl w:ilvl="3" w:tplc="76BEBCD2">
      <w:start w:val="1"/>
      <w:numFmt w:val="bullet"/>
      <w:lvlText w:val="●"/>
      <w:lvlJc w:val="left"/>
      <w:pPr>
        <w:ind w:left="2880" w:hanging="360"/>
      </w:pPr>
    </w:lvl>
    <w:lvl w:ilvl="4" w:tplc="56E6182E">
      <w:start w:val="1"/>
      <w:numFmt w:val="bullet"/>
      <w:lvlText w:val="○"/>
      <w:lvlJc w:val="left"/>
      <w:pPr>
        <w:ind w:left="3600" w:hanging="360"/>
      </w:pPr>
    </w:lvl>
    <w:lvl w:ilvl="5" w:tplc="1DAA5DD0">
      <w:start w:val="1"/>
      <w:numFmt w:val="bullet"/>
      <w:lvlText w:val="■"/>
      <w:lvlJc w:val="left"/>
      <w:pPr>
        <w:ind w:left="4320" w:hanging="360"/>
      </w:pPr>
    </w:lvl>
    <w:lvl w:ilvl="6" w:tplc="5C2C9D24">
      <w:start w:val="1"/>
      <w:numFmt w:val="bullet"/>
      <w:lvlText w:val="●"/>
      <w:lvlJc w:val="left"/>
      <w:pPr>
        <w:ind w:left="5040" w:hanging="360"/>
      </w:pPr>
    </w:lvl>
    <w:lvl w:ilvl="7" w:tplc="FAA64A10">
      <w:start w:val="1"/>
      <w:numFmt w:val="bullet"/>
      <w:lvlText w:val="●"/>
      <w:lvlJc w:val="left"/>
      <w:pPr>
        <w:ind w:left="5760" w:hanging="360"/>
      </w:pPr>
    </w:lvl>
    <w:lvl w:ilvl="8" w:tplc="DBDE9474">
      <w:start w:val="1"/>
      <w:numFmt w:val="bullet"/>
      <w:lvlText w:val="●"/>
      <w:lvlJc w:val="left"/>
      <w:pPr>
        <w:ind w:left="6480" w:hanging="360"/>
      </w:pPr>
    </w:lvl>
  </w:abstractNum>
  <w:abstractNum w:abstractNumId="1" w15:restartNumberingAfterBreak="0">
    <w:nsid w:val="55D93D81"/>
    <w:multiLevelType w:val="hybridMultilevel"/>
    <w:tmpl w:val="8448309C"/>
    <w:lvl w:ilvl="0" w:tplc="2B420420">
      <w:start w:val="1"/>
      <w:numFmt w:val="decimal"/>
      <w:lvlText w:val="%1."/>
      <w:lvlJc w:val="left"/>
      <w:pPr>
        <w:ind w:left="604" w:hanging="403"/>
      </w:pPr>
    </w:lvl>
    <w:lvl w:ilvl="1" w:tplc="A7B419FA">
      <w:start w:val="1"/>
      <w:numFmt w:val="lowerRoman"/>
      <w:lvlText w:val="%2."/>
      <w:lvlJc w:val="left"/>
      <w:pPr>
        <w:ind w:left="1209" w:hanging="403"/>
      </w:pPr>
    </w:lvl>
    <w:lvl w:ilvl="2" w:tplc="047C7A04">
      <w:start w:val="1"/>
      <w:numFmt w:val="lowerLetter"/>
      <w:lvlText w:val="%3."/>
      <w:lvlJc w:val="left"/>
      <w:pPr>
        <w:ind w:left="1814" w:hanging="403"/>
      </w:pPr>
    </w:lvl>
    <w:lvl w:ilvl="3" w:tplc="72C0C88C">
      <w:start w:val="1"/>
      <w:numFmt w:val="lowerLetter"/>
      <w:lvlText w:val="%4."/>
      <w:lvlJc w:val="left"/>
      <w:pPr>
        <w:ind w:left="2419" w:hanging="403"/>
      </w:pPr>
    </w:lvl>
    <w:lvl w:ilvl="4" w:tplc="36081BC0">
      <w:start w:val="1"/>
      <w:numFmt w:val="lowerLetter"/>
      <w:lvlText w:val="%5."/>
      <w:lvlJc w:val="left"/>
      <w:pPr>
        <w:ind w:left="3024" w:hanging="403"/>
      </w:pPr>
    </w:lvl>
    <w:lvl w:ilvl="5" w:tplc="DD2EE4EA">
      <w:start w:val="1"/>
      <w:numFmt w:val="lowerLetter"/>
      <w:lvlText w:val="%6."/>
      <w:lvlJc w:val="left"/>
      <w:pPr>
        <w:ind w:left="3628" w:hanging="403"/>
      </w:pPr>
    </w:lvl>
    <w:lvl w:ilvl="6" w:tplc="7338C5D2">
      <w:start w:val="1"/>
      <w:numFmt w:val="lowerLetter"/>
      <w:lvlText w:val="%7."/>
      <w:lvlJc w:val="left"/>
      <w:pPr>
        <w:ind w:left="4233" w:hanging="403"/>
      </w:pPr>
    </w:lvl>
    <w:lvl w:ilvl="7" w:tplc="7F0ED932">
      <w:start w:val="1"/>
      <w:numFmt w:val="lowerLetter"/>
      <w:lvlText w:val="%8."/>
      <w:lvlJc w:val="left"/>
      <w:pPr>
        <w:ind w:left="4838" w:hanging="403"/>
      </w:pPr>
    </w:lvl>
    <w:lvl w:ilvl="8" w:tplc="FF003664">
      <w:start w:val="1"/>
      <w:numFmt w:val="lowerLetter"/>
      <w:lvlText w:val="%9."/>
      <w:lvlJc w:val="left"/>
      <w:pPr>
        <w:ind w:left="5443" w:hanging="431"/>
      </w:pPr>
    </w:lvl>
  </w:abstractNum>
  <w:num w:numId="1" w16cid:durableId="8569690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781"/>
    <w:rsid w:val="00196E0C"/>
    <w:rsid w:val="00220511"/>
    <w:rsid w:val="003833B9"/>
    <w:rsid w:val="003C5781"/>
    <w:rsid w:val="00404933"/>
    <w:rsid w:val="0050499E"/>
    <w:rsid w:val="007451CE"/>
    <w:rsid w:val="00817427"/>
    <w:rsid w:val="008F41EE"/>
    <w:rsid w:val="009840DA"/>
    <w:rsid w:val="00C6024F"/>
    <w:rsid w:val="00D1645B"/>
    <w:rsid w:val="00F63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DB62F"/>
  <w15:docId w15:val="{1C1EB88D-A2EA-4F45-A646-308949A0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sz w:val="24"/>
        <w:szCs w:val="24"/>
        <w:lang w:val="en-US" w:eastAsia="zh-CN" w:bidi="ar-SA"/>
      </w:rPr>
    </w:rPrDefault>
    <w:pPrDefault>
      <w:pPr>
        <w:spacing w:before="60" w:after="1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after="180"/>
      <w:jc w:val="center"/>
      <w:outlineLvl w:val="0"/>
    </w:pPr>
    <w:rPr>
      <w:b/>
      <w:bCs/>
      <w:color w:val="171717"/>
      <w:sz w:val="44"/>
      <w:szCs w:val="44"/>
    </w:rPr>
  </w:style>
  <w:style w:type="paragraph" w:styleId="2">
    <w:name w:val="heading 2"/>
    <w:uiPriority w:val="9"/>
    <w:semiHidden/>
    <w:unhideWhenUsed/>
    <w:qFormat/>
    <w:pPr>
      <w:spacing w:before="380" w:after="100"/>
      <w:outlineLvl w:val="1"/>
    </w:pPr>
    <w:rPr>
      <w:b/>
      <w:bCs/>
      <w:color w:val="171717"/>
      <w:sz w:val="36"/>
      <w:szCs w:val="36"/>
    </w:rPr>
  </w:style>
  <w:style w:type="paragraph" w:styleId="3">
    <w:name w:val="heading 3"/>
    <w:uiPriority w:val="9"/>
    <w:semiHidden/>
    <w:unhideWhenUsed/>
    <w:qFormat/>
    <w:pPr>
      <w:spacing w:before="340" w:after="80"/>
      <w:outlineLvl w:val="2"/>
    </w:pPr>
    <w:rPr>
      <w:b/>
      <w:bCs/>
      <w:color w:val="171717"/>
      <w:sz w:val="32"/>
      <w:szCs w:val="32"/>
    </w:rPr>
  </w:style>
  <w:style w:type="paragraph" w:styleId="4">
    <w:name w:val="heading 4"/>
    <w:uiPriority w:val="9"/>
    <w:semiHidden/>
    <w:unhideWhenUsed/>
    <w:qFormat/>
    <w:pPr>
      <w:spacing w:before="300" w:after="60"/>
      <w:outlineLvl w:val="3"/>
    </w:pPr>
    <w:rPr>
      <w:b/>
      <w:bCs/>
      <w:color w:val="171717"/>
      <w:sz w:val="28"/>
      <w:szCs w:val="28"/>
    </w:rPr>
  </w:style>
  <w:style w:type="paragraph" w:styleId="5">
    <w:name w:val="heading 5"/>
    <w:uiPriority w:val="9"/>
    <w:semiHidden/>
    <w:unhideWhenUsed/>
    <w:qFormat/>
    <w:pPr>
      <w:spacing w:before="260" w:after="40"/>
      <w:outlineLvl w:val="4"/>
    </w:pPr>
    <w:rPr>
      <w:b/>
      <w:bCs/>
      <w:color w:val="171717"/>
      <w:sz w:val="26"/>
      <w:szCs w:val="26"/>
    </w:rPr>
  </w:style>
  <w:style w:type="paragraph" w:styleId="6">
    <w:name w:val="heading 6"/>
    <w:uiPriority w:val="9"/>
    <w:semiHidden/>
    <w:unhideWhenUsed/>
    <w:qFormat/>
    <w:pPr>
      <w:spacing w:before="220" w:after="20"/>
      <w:outlineLvl w:val="5"/>
    </w:pPr>
    <w:rPr>
      <w:b/>
      <w:bCs/>
      <w:color w:val="1717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after="0" w:line="240" w:lineRule="auto"/>
    </w:pPr>
    <w:rPr>
      <w:sz w:val="20"/>
      <w:szCs w:val="20"/>
    </w:rPr>
  </w:style>
  <w:style w:type="character" w:customStyle="1" w:styleId="a8">
    <w:name w:val="脚注文本 字符"/>
    <w:link w:val="a7"/>
    <w:uiPriority w:val="99"/>
    <w:semiHidden/>
    <w:unhideWhenUsed/>
    <w:rPr>
      <w:sz w:val="20"/>
      <w:szCs w:val="20"/>
    </w:rPr>
  </w:style>
  <w:style w:type="paragraph" w:styleId="a9">
    <w:name w:val="header"/>
    <w:basedOn w:val="a"/>
    <w:link w:val="aa"/>
    <w:uiPriority w:val="99"/>
    <w:unhideWhenUsed/>
    <w:rsid w:val="00D1645B"/>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D1645B"/>
    <w:rPr>
      <w:sz w:val="18"/>
      <w:szCs w:val="18"/>
    </w:rPr>
  </w:style>
  <w:style w:type="paragraph" w:styleId="ab">
    <w:name w:val="footer"/>
    <w:basedOn w:val="a"/>
    <w:link w:val="ac"/>
    <w:uiPriority w:val="99"/>
    <w:unhideWhenUsed/>
    <w:rsid w:val="00D1645B"/>
    <w:pPr>
      <w:tabs>
        <w:tab w:val="center" w:pos="4153"/>
        <w:tab w:val="right" w:pos="8306"/>
      </w:tabs>
      <w:snapToGrid w:val="0"/>
      <w:spacing w:line="240" w:lineRule="auto"/>
    </w:pPr>
    <w:rPr>
      <w:sz w:val="18"/>
      <w:szCs w:val="18"/>
    </w:rPr>
  </w:style>
  <w:style w:type="character" w:customStyle="1" w:styleId="ac">
    <w:name w:val="页脚 字符"/>
    <w:basedOn w:val="a0"/>
    <w:link w:val="ab"/>
    <w:uiPriority w:val="99"/>
    <w:rsid w:val="00D164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Markdown Viewer Extension</dc:creator>
  <cp:lastModifiedBy>Felix Yu</cp:lastModifiedBy>
  <cp:revision>5</cp:revision>
  <dcterms:created xsi:type="dcterms:W3CDTF">2026-05-05T08:29:00Z</dcterms:created>
  <dcterms:modified xsi:type="dcterms:W3CDTF">2026-05-05T09:40:00Z</dcterms:modified>
</cp:coreProperties>
</file>