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34FE" w14:textId="77777777" w:rsidR="004B6C7F" w:rsidRDefault="00000000">
      <w:pPr>
        <w:spacing w:afterLines="50" w:after="156" w:line="360" w:lineRule="exact"/>
        <w:jc w:val="center"/>
        <w:rPr>
          <w:b/>
          <w:bCs/>
          <w:sz w:val="28"/>
          <w:szCs w:val="32"/>
        </w:rPr>
      </w:pPr>
      <w:r>
        <w:rPr>
          <w:b/>
          <w:bCs/>
          <w:sz w:val="28"/>
          <w:szCs w:val="32"/>
        </w:rPr>
        <w:t>港股</w:t>
      </w:r>
      <w:r>
        <w:rPr>
          <w:b/>
          <w:bCs/>
          <w:sz w:val="28"/>
          <w:szCs w:val="32"/>
        </w:rPr>
        <w:t>IPO</w:t>
      </w:r>
      <w:r>
        <w:rPr>
          <w:b/>
          <w:bCs/>
          <w:sz w:val="28"/>
          <w:szCs w:val="32"/>
        </w:rPr>
        <w:t>数据合规</w:t>
      </w:r>
      <w:r>
        <w:rPr>
          <w:rFonts w:hint="eastAsia"/>
          <w:b/>
          <w:bCs/>
          <w:sz w:val="28"/>
          <w:szCs w:val="32"/>
        </w:rPr>
        <w:t>核查基底：企业数据合规“画像”</w:t>
      </w:r>
    </w:p>
    <w:p w14:paraId="41231679" w14:textId="30F0D6A5" w:rsidR="009017DB" w:rsidRDefault="009017DB">
      <w:pPr>
        <w:spacing w:afterLines="50" w:after="156" w:line="400" w:lineRule="exact"/>
        <w:jc w:val="center"/>
        <w:rPr>
          <w:b/>
          <w:bCs/>
        </w:rPr>
      </w:pPr>
      <w:r>
        <w:rPr>
          <w:rFonts w:hint="eastAsia"/>
          <w:b/>
          <w:bCs/>
        </w:rPr>
        <w:t>潘凯文、龚琳</w:t>
      </w:r>
    </w:p>
    <w:p w14:paraId="0E7BAE40" w14:textId="78E6965B" w:rsidR="004B6C7F" w:rsidRDefault="00000000">
      <w:pPr>
        <w:spacing w:afterLines="50" w:after="156" w:line="400" w:lineRule="exact"/>
        <w:jc w:val="center"/>
        <w:rPr>
          <w:b/>
          <w:bCs/>
        </w:rPr>
      </w:pPr>
      <w:r>
        <w:rPr>
          <w:rFonts w:hint="eastAsia"/>
          <w:b/>
          <w:bCs/>
        </w:rPr>
        <w:t>前言</w:t>
      </w:r>
    </w:p>
    <w:p w14:paraId="39D88991" w14:textId="15FE2EA3" w:rsidR="004B6C7F" w:rsidRDefault="00000000">
      <w:pPr>
        <w:spacing w:afterLines="50" w:after="156" w:line="400" w:lineRule="exact"/>
        <w:ind w:firstLineChars="200" w:firstLine="420"/>
      </w:pPr>
      <w:r>
        <w:t>在港股</w:t>
      </w:r>
      <w:r>
        <w:t>IPO</w:t>
      </w:r>
      <w:r>
        <w:t>的赛道上，科技、</w:t>
      </w:r>
      <w:r>
        <w:t>AI</w:t>
      </w:r>
      <w:r>
        <w:t>、智慧城市等数据密集型企业早已不是新鲜面孔。但近年来，有个变化让不少拟上市企业直呼</w:t>
      </w:r>
      <w:r>
        <w:rPr>
          <w:rFonts w:hint="eastAsia"/>
        </w:rPr>
        <w:t>“</w:t>
      </w:r>
      <w:r>
        <w:t>压力拉满</w:t>
      </w:r>
      <w:r>
        <w:rPr>
          <w:rFonts w:hint="eastAsia"/>
        </w:rPr>
        <w:t>”</w:t>
      </w:r>
      <w:r>
        <w:t>——</w:t>
      </w:r>
      <w:r>
        <w:rPr>
          <w:rFonts w:hint="eastAsia"/>
        </w:rPr>
        <w:t>监管对</w:t>
      </w:r>
      <w:r>
        <w:t>数据合规</w:t>
      </w:r>
      <w:r>
        <w:rPr>
          <w:rFonts w:hint="eastAsia"/>
        </w:rPr>
        <w:t>的关注，已</w:t>
      </w:r>
      <w:r>
        <w:t>从过去的</w:t>
      </w:r>
      <w:r>
        <w:rPr>
          <w:rFonts w:hint="eastAsia"/>
        </w:rPr>
        <w:t>“概览式问询”</w:t>
      </w:r>
      <w:r>
        <w:t>，</w:t>
      </w:r>
      <w:r>
        <w:rPr>
          <w:rFonts w:hint="eastAsia"/>
        </w:rPr>
        <w:t>发展成为</w:t>
      </w:r>
      <w:r>
        <w:t>如今</w:t>
      </w:r>
      <w:r>
        <w:rPr>
          <w:rFonts w:hint="eastAsia"/>
        </w:rPr>
        <w:t>的“深入式探究”，数据处理的合法合规性已然成为企业合规发展的重点关注内容</w:t>
      </w:r>
      <w:r>
        <w:t>。一方面，《网络安全法》《数据安全法》《个人信息保护法》</w:t>
      </w:r>
      <w:r>
        <w:rPr>
          <w:rFonts w:hint="eastAsia"/>
        </w:rPr>
        <w:t>以及</w:t>
      </w:r>
      <w:r>
        <w:t>《网络数据安全管理条例》</w:t>
      </w:r>
      <w:r>
        <w:rPr>
          <w:rFonts w:hint="eastAsia"/>
        </w:rPr>
        <w:t>的“三法一规”</w:t>
      </w:r>
      <w:r>
        <w:t>构建起</w:t>
      </w:r>
      <w:r>
        <w:rPr>
          <w:rFonts w:hint="eastAsia"/>
        </w:rPr>
        <w:t>“</w:t>
      </w:r>
      <w:r>
        <w:t>全链条监管</w:t>
      </w:r>
      <w:r>
        <w:rPr>
          <w:rFonts w:hint="eastAsia"/>
        </w:rPr>
        <w:t>”</w:t>
      </w:r>
      <w:r>
        <w:t>框架，</w:t>
      </w:r>
      <w:r>
        <w:rPr>
          <w:rFonts w:hint="eastAsia"/>
        </w:rPr>
        <w:t>辅以一系列关于网络安全、数据合规、个人信息保护的部门规章、规范性文件、地方性法规、司法解释、国家标准、行业标准、网络安全标准实践指南等，</w:t>
      </w:r>
      <w:r>
        <w:t>监管部门对数据合规的</w:t>
      </w:r>
      <w:r>
        <w:rPr>
          <w:rFonts w:hint="eastAsia"/>
        </w:rPr>
        <w:t>规范颗粒度</w:t>
      </w:r>
      <w:r>
        <w:t>愈发</w:t>
      </w:r>
      <w:r>
        <w:rPr>
          <w:rFonts w:hint="eastAsia"/>
        </w:rPr>
        <w:t>细致</w:t>
      </w:r>
      <w:r>
        <w:t>；另一方面，</w:t>
      </w:r>
      <w:r>
        <w:rPr>
          <w:rFonts w:hint="eastAsia"/>
        </w:rPr>
        <w:t>随着拟</w:t>
      </w:r>
      <w:r>
        <w:rPr>
          <w:rFonts w:hint="eastAsia"/>
        </w:rPr>
        <w:t>IPO</w:t>
      </w:r>
      <w:r>
        <w:rPr>
          <w:rFonts w:hint="eastAsia"/>
        </w:rPr>
        <w:t>的科技企业比重不断增加，</w:t>
      </w:r>
      <w:r>
        <w:rPr>
          <w:rFonts w:asciiTheme="majorBidi" w:hAnsiTheme="majorBidi" w:cstheme="majorBidi" w:hint="eastAsia"/>
          <w:bCs/>
        </w:rPr>
        <w:t>中国证券监督管理委员会、</w:t>
      </w:r>
      <w:r>
        <w:rPr>
          <w:rFonts w:asciiTheme="majorBidi" w:hAnsiTheme="majorBidi" w:cstheme="majorBidi"/>
          <w:bCs/>
        </w:rPr>
        <w:t>香港联合交易所</w:t>
      </w:r>
      <w:r>
        <w:rPr>
          <w:rFonts w:asciiTheme="majorBidi" w:hAnsiTheme="majorBidi" w:cstheme="majorBidi" w:hint="eastAsia"/>
          <w:bCs/>
        </w:rPr>
        <w:t>、香港证券及期货事务监察委员会</w:t>
      </w:r>
      <w:r>
        <w:rPr>
          <w:rFonts w:hint="eastAsia"/>
        </w:rPr>
        <w:t>等监管审批机构针</w:t>
      </w:r>
      <w:r>
        <w:t>对数据合规的问询频次显著提升，</w:t>
      </w:r>
      <w:r>
        <w:rPr>
          <w:rFonts w:hint="eastAsia"/>
        </w:rPr>
        <w:t>且</w:t>
      </w:r>
      <w:r>
        <w:t>不仅要求企业披露数据处理</w:t>
      </w:r>
      <w:r>
        <w:rPr>
          <w:rFonts w:hint="eastAsia"/>
        </w:rPr>
        <w:t>的常态化合规关注</w:t>
      </w:r>
      <w:r>
        <w:t>，</w:t>
      </w:r>
      <w:r>
        <w:rPr>
          <w:rFonts w:hint="eastAsia"/>
        </w:rPr>
        <w:t>并特别针对不同时期的关注热点（例如</w:t>
      </w:r>
      <w:r>
        <w:rPr>
          <w:rFonts w:hint="eastAsia"/>
        </w:rPr>
        <w:t>2022</w:t>
      </w:r>
      <w:r>
        <w:rPr>
          <w:rFonts w:hint="eastAsia"/>
        </w:rPr>
        <w:t>年《数据出境安全评估办法》开启的数据出境合规核查，</w:t>
      </w:r>
      <w:r>
        <w:rPr>
          <w:rFonts w:hint="eastAsia"/>
        </w:rPr>
        <w:t>2023</w:t>
      </w:r>
      <w:r>
        <w:rPr>
          <w:rFonts w:hint="eastAsia"/>
        </w:rPr>
        <w:t>年《生成式人工智能服务管理暂行办法》开启的生成式人工智能合规监管，以及针对今年出台</w:t>
      </w:r>
      <w:r w:rsidR="004B3438">
        <w:rPr>
          <w:rFonts w:hint="eastAsia"/>
        </w:rPr>
        <w:t>的</w:t>
      </w:r>
      <w:r>
        <w:rPr>
          <w:rFonts w:hint="eastAsia"/>
        </w:rPr>
        <w:t>《人脸识别技术应用安全管理办法》引发人脸识别技术应用场景的合规监管等），要求企业就是否涉及关注热点进一步细化论述。如何在招股书展望的宏伟蓝图以及企业本需遵循的数据合规之间取其</w:t>
      </w:r>
      <w:bookmarkStart w:id="0" w:name="OLE_LINK2"/>
      <w:r>
        <w:rPr>
          <w:rFonts w:hint="eastAsia"/>
        </w:rPr>
        <w:t>“中衡之道</w:t>
      </w:r>
      <w:bookmarkEnd w:id="0"/>
      <w:r>
        <w:rPr>
          <w:rFonts w:hint="eastAsia"/>
        </w:rPr>
        <w:t>”，是拟上市企业需要切实面对的重要课题。</w:t>
      </w:r>
    </w:p>
    <w:p w14:paraId="432261FB" w14:textId="6D015984" w:rsidR="004B6C7F" w:rsidRDefault="00000000">
      <w:pPr>
        <w:spacing w:afterLines="50" w:after="156" w:line="400" w:lineRule="exact"/>
        <w:ind w:firstLineChars="200" w:firstLine="420"/>
      </w:pPr>
      <w:r>
        <w:rPr>
          <w:rFonts w:hint="eastAsia"/>
        </w:rPr>
        <w:t>实践中，港股</w:t>
      </w:r>
      <w:r>
        <w:rPr>
          <w:rFonts w:hint="eastAsia"/>
        </w:rPr>
        <w:t>IPO</w:t>
      </w:r>
      <w:r>
        <w:rPr>
          <w:rFonts w:hint="eastAsia"/>
        </w:rPr>
        <w:t>的流程期限相较国内</w:t>
      </w:r>
      <w:r>
        <w:rPr>
          <w:rFonts w:hint="eastAsia"/>
        </w:rPr>
        <w:t>IPO</w:t>
      </w:r>
      <w:r>
        <w:rPr>
          <w:rFonts w:hint="eastAsia"/>
        </w:rPr>
        <w:t>而言通常</w:t>
      </w:r>
      <w:r w:rsidR="004D6A2B">
        <w:rPr>
          <w:rFonts w:hint="eastAsia"/>
        </w:rPr>
        <w:t>更</w:t>
      </w:r>
      <w:r>
        <w:rPr>
          <w:rFonts w:hint="eastAsia"/>
        </w:rPr>
        <w:t>短，而数据合规</w:t>
      </w:r>
      <w:r w:rsidR="004D6A2B">
        <w:rPr>
          <w:rFonts w:hint="eastAsia"/>
        </w:rPr>
        <w:t>法律团队</w:t>
      </w:r>
      <w:r>
        <w:rPr>
          <w:rFonts w:hint="eastAsia"/>
        </w:rPr>
        <w:t>介入</w:t>
      </w:r>
      <w:r w:rsidR="004D6A2B">
        <w:rPr>
          <w:rFonts w:hint="eastAsia"/>
        </w:rPr>
        <w:t>核查的</w:t>
      </w:r>
      <w:r>
        <w:rPr>
          <w:rFonts w:hint="eastAsia"/>
        </w:rPr>
        <w:t>时间点往往在</w:t>
      </w:r>
      <w:r>
        <w:rPr>
          <w:rFonts w:hint="eastAsia"/>
        </w:rPr>
        <w:t>A1</w:t>
      </w:r>
      <w:r>
        <w:rPr>
          <w:rFonts w:hint="eastAsia"/>
        </w:rPr>
        <w:t>交表前较为后期的阶段，稳健的核查节奏与充分的核查时限通常很难保障。那么，如何在短期内，在既有的数据合规框架中迅速排查出特定项目的合规关注重点，准确提炼出数据合规风险，笔者认为，通过初步尽调为企业建立一个基础但也相对完整的数据合规“画像”，是最为重要的起步。通过“画像”，可高效识别和准确把握后续开展核查的方向和重点，在有限时间内给出切中监管关注要点的法律意见，从而为企业的后续合规优化，以及其他中介团队对上市文件的起草提供有益的参考</w:t>
      </w:r>
      <w:r>
        <w:t>。</w:t>
      </w:r>
    </w:p>
    <w:p w14:paraId="1915C004" w14:textId="67D41297" w:rsidR="004B6C7F" w:rsidRDefault="004D6A2B">
      <w:pPr>
        <w:spacing w:afterLines="50" w:after="156" w:line="400" w:lineRule="exact"/>
        <w:ind w:firstLineChars="200" w:firstLine="420"/>
      </w:pPr>
      <w:r>
        <w:rPr>
          <w:rFonts w:hint="eastAsia"/>
        </w:rPr>
        <w:t>根据笔者团队的港股</w:t>
      </w:r>
      <w:r>
        <w:rPr>
          <w:rFonts w:hint="eastAsia"/>
        </w:rPr>
        <w:t>IPO</w:t>
      </w:r>
      <w:r>
        <w:rPr>
          <w:rFonts w:hint="eastAsia"/>
        </w:rPr>
        <w:t>数据合规核查经验，关于企业数据合规的基础“画像”构建要素，应至少包括</w:t>
      </w:r>
      <w:r>
        <w:rPr>
          <w:rFonts w:hint="eastAsia"/>
          <w:b/>
          <w:bCs/>
          <w:u w:val="single"/>
        </w:rPr>
        <w:t>主体身份标签</w:t>
      </w:r>
      <w:r>
        <w:rPr>
          <w:rFonts w:hint="eastAsia"/>
        </w:rPr>
        <w:t>、</w:t>
      </w:r>
      <w:r>
        <w:rPr>
          <w:rFonts w:hint="eastAsia"/>
          <w:b/>
          <w:bCs/>
          <w:u w:val="single"/>
        </w:rPr>
        <w:t>主营业务</w:t>
      </w:r>
      <w:r>
        <w:rPr>
          <w:rFonts w:hint="eastAsia"/>
        </w:rPr>
        <w:t>、</w:t>
      </w:r>
      <w:r>
        <w:rPr>
          <w:rFonts w:hint="eastAsia"/>
          <w:b/>
          <w:bCs/>
          <w:u w:val="single"/>
        </w:rPr>
        <w:t>系统应用</w:t>
      </w:r>
      <w:r>
        <w:rPr>
          <w:rFonts w:hint="eastAsia"/>
        </w:rPr>
        <w:t>、</w:t>
      </w:r>
      <w:r>
        <w:rPr>
          <w:rFonts w:hint="eastAsia"/>
          <w:b/>
          <w:bCs/>
          <w:u w:val="single"/>
        </w:rPr>
        <w:t>数据类型及处理</w:t>
      </w:r>
      <w:r>
        <w:rPr>
          <w:rFonts w:hint="eastAsia"/>
        </w:rPr>
        <w:t>、</w:t>
      </w:r>
      <w:r>
        <w:rPr>
          <w:rFonts w:hint="eastAsia"/>
          <w:b/>
          <w:bCs/>
          <w:u w:val="single"/>
        </w:rPr>
        <w:t>安全与监管事件</w:t>
      </w:r>
      <w:r>
        <w:rPr>
          <w:rFonts w:hint="eastAsia"/>
        </w:rPr>
        <w:t>等多重维度。下文将对前述主要维度的初步核查要点略作展开，以供交流探讨。</w:t>
      </w:r>
    </w:p>
    <w:p w14:paraId="72740728" w14:textId="77777777" w:rsidR="004B6C7F" w:rsidRDefault="004B6C7F">
      <w:pPr>
        <w:spacing w:afterLines="50" w:after="156" w:line="400" w:lineRule="exact"/>
        <w:ind w:firstLineChars="200" w:firstLine="420"/>
      </w:pPr>
    </w:p>
    <w:p w14:paraId="68438217" w14:textId="77777777" w:rsidR="004B6C7F" w:rsidRDefault="00000000">
      <w:pPr>
        <w:spacing w:afterLines="50" w:after="156" w:line="400" w:lineRule="exact"/>
        <w:jc w:val="center"/>
        <w:rPr>
          <w:b/>
          <w:bCs/>
        </w:rPr>
      </w:pPr>
      <w:r>
        <w:rPr>
          <w:b/>
          <w:bCs/>
        </w:rPr>
        <w:t>一、</w:t>
      </w:r>
      <w:r>
        <w:rPr>
          <w:rFonts w:hint="eastAsia"/>
          <w:b/>
          <w:bCs/>
        </w:rPr>
        <w:t>被核查主体的重要“身份标签”</w:t>
      </w:r>
    </w:p>
    <w:p w14:paraId="00E2903D" w14:textId="77777777" w:rsidR="004B6C7F" w:rsidRDefault="00000000">
      <w:pPr>
        <w:spacing w:afterLines="50" w:after="156" w:line="400" w:lineRule="exact"/>
        <w:ind w:firstLineChars="200" w:firstLine="420"/>
      </w:pPr>
      <w:r>
        <w:t>港股</w:t>
      </w:r>
      <w:r>
        <w:t>IPO</w:t>
      </w:r>
      <w:r>
        <w:t>数据合规核查的第一步，不是直接扎进</w:t>
      </w:r>
      <w:r>
        <w:rPr>
          <w:rFonts w:hint="eastAsia"/>
        </w:rPr>
        <w:t>“</w:t>
      </w:r>
      <w:r>
        <w:t>数据处理细节</w:t>
      </w:r>
      <w:r>
        <w:rPr>
          <w:rFonts w:hint="eastAsia"/>
        </w:rPr>
        <w:t>”</w:t>
      </w:r>
      <w:r>
        <w:t>，而是先搞清楚</w:t>
      </w:r>
      <w:r>
        <w:rPr>
          <w:rFonts w:hint="eastAsia"/>
        </w:rPr>
        <w:t>“</w:t>
      </w:r>
      <w:r>
        <w:t>谁</w:t>
      </w:r>
      <w:r>
        <w:lastRenderedPageBreak/>
        <w:t>在处理数据</w:t>
      </w:r>
      <w:r>
        <w:rPr>
          <w:rFonts w:hint="eastAsia"/>
        </w:rPr>
        <w:t>”</w:t>
      </w:r>
      <w:r>
        <w:t>——</w:t>
      </w:r>
      <w:r>
        <w:rPr>
          <w:rFonts w:hint="eastAsia"/>
        </w:rPr>
        <w:t>优先建立主体的基础“画像”</w:t>
      </w:r>
      <w:r>
        <w:t>，</w:t>
      </w:r>
      <w:r>
        <w:rPr>
          <w:rFonts w:hint="eastAsia"/>
        </w:rPr>
        <w:t>不但有助于把握数据合规的重点核查和完善方向，亦会对后续数据流的梳理产生助益。</w:t>
      </w:r>
    </w:p>
    <w:p w14:paraId="0EC42C82" w14:textId="77777777" w:rsidR="004B6C7F" w:rsidRDefault="00000000">
      <w:pPr>
        <w:pStyle w:val="af5"/>
        <w:numPr>
          <w:ilvl w:val="0"/>
          <w:numId w:val="1"/>
        </w:numPr>
        <w:spacing w:afterLines="50" w:after="156" w:line="400" w:lineRule="exact"/>
        <w:contextualSpacing w:val="0"/>
      </w:pPr>
      <w:r>
        <w:rPr>
          <w:b/>
          <w:bCs/>
        </w:rPr>
        <w:t>是否为关键信息基础设施运营者（下称</w:t>
      </w:r>
      <w:r>
        <w:rPr>
          <w:rFonts w:hint="eastAsia"/>
          <w:b/>
          <w:bCs/>
        </w:rPr>
        <w:t>“关基运营者”</w:t>
      </w:r>
      <w:r>
        <w:rPr>
          <w:b/>
          <w:bCs/>
        </w:rPr>
        <w:t>）</w:t>
      </w:r>
    </w:p>
    <w:p w14:paraId="16EC417C" w14:textId="77777777" w:rsidR="004B6C7F" w:rsidRDefault="00000000">
      <w:pPr>
        <w:spacing w:afterLines="50" w:after="156" w:line="400" w:lineRule="exact"/>
        <w:ind w:left="357" w:firstLineChars="200" w:firstLine="420"/>
      </w:pPr>
      <w:r>
        <w:rPr>
          <w:rFonts w:hint="eastAsia"/>
        </w:rPr>
        <w:t>关键信息基础设施</w:t>
      </w:r>
      <w:r>
        <w:rPr>
          <w:rStyle w:val="af2"/>
        </w:rPr>
        <w:footnoteReference w:id="1"/>
      </w:r>
      <w:r>
        <w:rPr>
          <w:rFonts w:hint="eastAsia"/>
        </w:rPr>
        <w:t>，是指公共通信和信息服务、能源、交通、水利、金融、公共服务、电子政务、国防科技工业等重要行业和领域的，以及其他一旦遭到破坏、丧失功能或者数据泄露，可能严重危害国家安全、国计民生、公共利益的重要网络设施、信息系统等。根据该条例，关基运营者的身份由保护工作部门认定并通报国务院公安部门。一旦被核查的企业经认定属于“关基运营者”身份，则需要进一步严格满足</w:t>
      </w:r>
      <w:r>
        <w:t>网络安全等级保护（下称</w:t>
      </w:r>
      <w:r>
        <w:rPr>
          <w:rFonts w:hint="eastAsia"/>
        </w:rPr>
        <w:t>“</w:t>
      </w:r>
      <w:r>
        <w:t>等保</w:t>
      </w:r>
      <w:r>
        <w:rPr>
          <w:rFonts w:hint="eastAsia"/>
        </w:rPr>
        <w:t>”</w:t>
      </w:r>
      <w:r>
        <w:t>）</w:t>
      </w:r>
      <w:r>
        <w:rPr>
          <w:rFonts w:hint="eastAsia"/>
        </w:rPr>
        <w:t>、</w:t>
      </w:r>
      <w:r>
        <w:t>数据出境、</w:t>
      </w:r>
      <w:r>
        <w:rPr>
          <w:rFonts w:hint="eastAsia"/>
        </w:rPr>
        <w:t>风险评估等诸多方面的特定合规要求</w:t>
      </w:r>
      <w:r>
        <w:t>。</w:t>
      </w:r>
    </w:p>
    <w:p w14:paraId="0098F141" w14:textId="77777777" w:rsidR="004B6C7F" w:rsidRDefault="00000000">
      <w:pPr>
        <w:pStyle w:val="af5"/>
        <w:numPr>
          <w:ilvl w:val="0"/>
          <w:numId w:val="1"/>
        </w:numPr>
        <w:spacing w:afterLines="50" w:after="156" w:line="400" w:lineRule="exact"/>
        <w:ind w:left="357"/>
        <w:contextualSpacing w:val="0"/>
      </w:pPr>
      <w:r>
        <w:rPr>
          <w:b/>
          <w:bCs/>
        </w:rPr>
        <w:t>是否为网络平台运营者</w:t>
      </w:r>
    </w:p>
    <w:p w14:paraId="066BF31E" w14:textId="77777777" w:rsidR="004B6C7F" w:rsidRDefault="00000000">
      <w:pPr>
        <w:widowControl/>
        <w:suppressAutoHyphens/>
        <w:adjustRightInd w:val="0"/>
        <w:snapToGrid w:val="0"/>
        <w:spacing w:afterLines="50" w:after="156" w:line="400" w:lineRule="exact"/>
        <w:ind w:left="-3" w:firstLineChars="200" w:firstLine="420"/>
      </w:pPr>
      <w:r>
        <w:t>针对</w:t>
      </w:r>
      <w:r>
        <w:rPr>
          <w:rFonts w:hint="eastAsia"/>
        </w:rPr>
        <w:t>“</w:t>
      </w:r>
      <w:r>
        <w:t>网络平台运营者</w:t>
      </w:r>
      <w:r>
        <w:rPr>
          <w:rFonts w:hint="eastAsia"/>
        </w:rPr>
        <w:t>”</w:t>
      </w:r>
      <w:r>
        <w:t>，</w:t>
      </w:r>
      <w:r>
        <w:rPr>
          <w:rFonts w:hint="eastAsia"/>
        </w:rPr>
        <w:t>目前并无法律法规对此做出明确的定义</w:t>
      </w:r>
      <w:r>
        <w:t>。《互联网平台分类分级指南（征求意见稿）》</w:t>
      </w:r>
      <w:r>
        <w:rPr>
          <w:rFonts w:hint="eastAsia"/>
        </w:rPr>
        <w:t>以及</w:t>
      </w:r>
      <w:r>
        <w:t>《互联网平台落实主体责任指南（征求意见稿）》</w:t>
      </w:r>
      <w:r>
        <w:rPr>
          <w:rFonts w:hint="eastAsia"/>
        </w:rPr>
        <w:t>等相关文件曾对“平台”“平台经营者”等概念做出过定义</w:t>
      </w:r>
      <w:r>
        <w:t>。此外，国家网信办于</w:t>
      </w:r>
      <w:r>
        <w:t>2021</w:t>
      </w:r>
      <w:r>
        <w:t>年</w:t>
      </w:r>
      <w:r>
        <w:t>11</w:t>
      </w:r>
      <w:r>
        <w:t>月</w:t>
      </w:r>
      <w:r>
        <w:t>14</w:t>
      </w:r>
      <w:r>
        <w:t>日发布《网络数据安全管理条例（征求意见稿）》</w:t>
      </w:r>
      <w:r>
        <w:rPr>
          <w:rFonts w:hint="eastAsia"/>
        </w:rPr>
        <w:t>中</w:t>
      </w:r>
      <w:r>
        <w:t>，对互联网平台运营者的定义为</w:t>
      </w:r>
      <w:r>
        <w:rPr>
          <w:rFonts w:hint="eastAsia"/>
        </w:rPr>
        <w:t>“</w:t>
      </w:r>
      <w:r>
        <w:t>为用户提供信息发布、社交、交易、支付、视听等互联网平台服务的数据处理者</w:t>
      </w:r>
      <w:r>
        <w:rPr>
          <w:rFonts w:hint="eastAsia"/>
        </w:rPr>
        <w:t>”</w:t>
      </w:r>
      <w:r>
        <w:t>。</w:t>
      </w:r>
      <w:r>
        <w:rPr>
          <w:rFonts w:hint="eastAsia"/>
        </w:rPr>
        <w:t>据此定义，拟上市企业如作为网络平台运营者，则其用户群体必然将包含大量个人用户，那么有关个人用户的各项权益保障，显然也将必然成为监管部门的关注侧重之一。</w:t>
      </w:r>
      <w:r>
        <w:t>若用户</w:t>
      </w:r>
      <w:r>
        <w:rPr>
          <w:rFonts w:hint="eastAsia"/>
        </w:rPr>
        <w:t>达到一定规模（如</w:t>
      </w:r>
      <w:r>
        <w:rPr>
          <w:rFonts w:hint="eastAsia"/>
        </w:rPr>
        <w:t>100</w:t>
      </w:r>
      <w:r>
        <w:rPr>
          <w:rFonts w:hint="eastAsia"/>
        </w:rPr>
        <w:t>万以上、</w:t>
      </w:r>
      <w:r>
        <w:rPr>
          <w:rFonts w:hint="eastAsia"/>
        </w:rPr>
        <w:t>1000</w:t>
      </w:r>
      <w:r>
        <w:rPr>
          <w:rFonts w:hint="eastAsia"/>
        </w:rPr>
        <w:t>万以上等），则相应需要充分考量更多额外的、硬性的合规指标。</w:t>
      </w:r>
    </w:p>
    <w:p w14:paraId="765A6CF9" w14:textId="77777777" w:rsidR="004B6C7F" w:rsidRDefault="00000000">
      <w:pPr>
        <w:pStyle w:val="af5"/>
        <w:numPr>
          <w:ilvl w:val="0"/>
          <w:numId w:val="1"/>
        </w:numPr>
        <w:spacing w:afterLines="50" w:after="156" w:line="400" w:lineRule="exact"/>
        <w:ind w:left="357"/>
        <w:contextualSpacing w:val="0"/>
        <w:rPr>
          <w:b/>
          <w:bCs/>
        </w:rPr>
      </w:pPr>
      <w:r>
        <w:rPr>
          <w:rFonts w:hint="eastAsia"/>
          <w:b/>
          <w:bCs/>
        </w:rPr>
        <w:t>数据合规相关认证资质</w:t>
      </w:r>
    </w:p>
    <w:p w14:paraId="06137A73" w14:textId="77777777" w:rsidR="004B6C7F" w:rsidRDefault="00000000">
      <w:pPr>
        <w:spacing w:afterLines="50" w:after="156" w:line="400" w:lineRule="exact"/>
        <w:ind w:left="-3" w:firstLineChars="200" w:firstLine="420"/>
      </w:pPr>
      <w:r>
        <w:rPr>
          <w:rFonts w:hint="eastAsia"/>
        </w:rPr>
        <w:t>与数据合规相关的国内外认证并不显见，其中又以</w:t>
      </w:r>
      <w:r>
        <w:t>国际标准化组织（</w:t>
      </w:r>
      <w:r>
        <w:t>ISO</w:t>
      </w:r>
      <w:r>
        <w:t>）和国际电工委员会（</w:t>
      </w:r>
      <w:r>
        <w:t>IEC</w:t>
      </w:r>
      <w:r>
        <w:t>）</w:t>
      </w:r>
      <w:r>
        <w:rPr>
          <w:rFonts w:hint="eastAsia"/>
        </w:rPr>
        <w:t>发布的</w:t>
      </w:r>
      <w:r>
        <w:t>ISO/IEC</w:t>
      </w:r>
      <w:r>
        <w:rPr>
          <w:rFonts w:hint="eastAsia"/>
        </w:rPr>
        <w:t>系列国际标准相关认证最为常见，例如</w:t>
      </w:r>
      <w:r>
        <w:t>ISO/IEC</w:t>
      </w:r>
      <w:r>
        <w:rPr>
          <w:rFonts w:hint="eastAsia"/>
        </w:rPr>
        <w:t xml:space="preserve"> 27001</w:t>
      </w:r>
      <w:r>
        <w:rPr>
          <w:rFonts w:hint="eastAsia"/>
        </w:rPr>
        <w:t>信息安全管理体系认证、</w:t>
      </w:r>
      <w:r>
        <w:t>ISO/IEC</w:t>
      </w:r>
      <w:r>
        <w:rPr>
          <w:rFonts w:hint="eastAsia"/>
        </w:rPr>
        <w:t xml:space="preserve"> 27701</w:t>
      </w:r>
      <w:r>
        <w:rPr>
          <w:rFonts w:hint="eastAsia"/>
        </w:rPr>
        <w:t>隐私信息管理体系认证、</w:t>
      </w:r>
      <w:r>
        <w:t>ISO/IEC</w:t>
      </w:r>
      <w:r>
        <w:rPr>
          <w:rFonts w:hint="eastAsia"/>
        </w:rPr>
        <w:t xml:space="preserve"> 27017</w:t>
      </w:r>
      <w:r>
        <w:rPr>
          <w:rFonts w:hint="eastAsia"/>
        </w:rPr>
        <w:t>云安全管理体系认证、</w:t>
      </w:r>
      <w:r>
        <w:t>ISO/IEC</w:t>
      </w:r>
      <w:r>
        <w:rPr>
          <w:rFonts w:hint="eastAsia"/>
        </w:rPr>
        <w:t xml:space="preserve"> 27018</w:t>
      </w:r>
      <w:r>
        <w:rPr>
          <w:rFonts w:hint="eastAsia"/>
        </w:rPr>
        <w:t>公有云个人信息保护体系认证等。又如，</w:t>
      </w:r>
      <w:r>
        <w:t>推荐性国家标准</w:t>
      </w:r>
      <w:r>
        <w:t>GB/T 36073-2018</w:t>
      </w:r>
      <w:r>
        <w:t>《数据管理能力成熟度评估模型》（</w:t>
      </w:r>
      <w:r>
        <w:t>DCMM</w:t>
      </w:r>
      <w:r>
        <w:t>）</w:t>
      </w:r>
      <w:r>
        <w:rPr>
          <w:rFonts w:hint="eastAsia"/>
        </w:rPr>
        <w:t>，</w:t>
      </w:r>
      <w:r>
        <w:t>给出了数据管理能力成熟度评估模型以及相应的成熟度等级，定义了数据战略、数据治理、数据架构、数据应用、数据安全、数据质量、数据标准和数据生存周期八个能力域，适用于组织和机构对数据管理能力成熟度进行评估。</w:t>
      </w:r>
    </w:p>
    <w:p w14:paraId="344D52A3" w14:textId="77777777" w:rsidR="004B6C7F" w:rsidRDefault="00000000">
      <w:pPr>
        <w:spacing w:afterLines="50" w:after="156" w:line="400" w:lineRule="exact"/>
        <w:ind w:firstLineChars="200" w:firstLine="420"/>
      </w:pPr>
      <w:r>
        <w:rPr>
          <w:rFonts w:hint="eastAsia"/>
        </w:rPr>
        <w:t>如被核查企业获得过</w:t>
      </w:r>
      <w:r>
        <w:t>ISO/IEC</w:t>
      </w:r>
      <w:r>
        <w:rPr>
          <w:rFonts w:hint="eastAsia"/>
        </w:rPr>
        <w:t>系列认证或</w:t>
      </w:r>
      <w:r>
        <w:t>DCMM</w:t>
      </w:r>
      <w:r>
        <w:t>数据管理能力成熟度等级</w:t>
      </w:r>
      <w:r>
        <w:rPr>
          <w:rFonts w:hint="eastAsia"/>
        </w:rPr>
        <w:t>认证等数据合规领域相关认证，则可以一定程度上用以结合印证企业数据合规体系的完备性及其所实施保障措施的有效性。</w:t>
      </w:r>
    </w:p>
    <w:p w14:paraId="15680E49" w14:textId="77777777" w:rsidR="004B6C7F" w:rsidRDefault="004B6C7F">
      <w:pPr>
        <w:spacing w:afterLines="50" w:after="156" w:line="400" w:lineRule="exact"/>
        <w:ind w:left="357" w:firstLineChars="200" w:firstLine="420"/>
      </w:pPr>
    </w:p>
    <w:p w14:paraId="53F8BC8B" w14:textId="77777777" w:rsidR="004B6C7F" w:rsidRDefault="00000000">
      <w:pPr>
        <w:spacing w:afterLines="50" w:after="156" w:line="400" w:lineRule="exact"/>
        <w:jc w:val="center"/>
        <w:rPr>
          <w:b/>
          <w:bCs/>
        </w:rPr>
      </w:pPr>
      <w:r>
        <w:rPr>
          <w:rFonts w:hint="eastAsia"/>
          <w:b/>
          <w:bCs/>
        </w:rPr>
        <w:lastRenderedPageBreak/>
        <w:t>二</w:t>
      </w:r>
      <w:r>
        <w:rPr>
          <w:b/>
          <w:bCs/>
        </w:rPr>
        <w:t>、</w:t>
      </w:r>
      <w:r>
        <w:rPr>
          <w:rFonts w:hint="eastAsia"/>
          <w:b/>
          <w:bCs/>
        </w:rPr>
        <w:t>主营业务方面的“潜台词”</w:t>
      </w:r>
    </w:p>
    <w:p w14:paraId="0865F8EA" w14:textId="77777777" w:rsidR="004B6C7F" w:rsidRDefault="00000000">
      <w:pPr>
        <w:spacing w:afterLines="50" w:after="156" w:line="400" w:lineRule="exact"/>
        <w:ind w:firstLineChars="200" w:firstLine="420"/>
      </w:pPr>
      <w:r>
        <w:rPr>
          <w:rFonts w:hint="eastAsia"/>
        </w:rPr>
        <w:t>拟上市企业的主营业务领域，是招股书的撰写重点。与此同时，“广阔光明”的业务描述，站在合规视角看，却潜藏着不得不考量的合规要素乃至风险。</w:t>
      </w:r>
    </w:p>
    <w:p w14:paraId="4B0AE95F" w14:textId="77777777" w:rsidR="004B6C7F" w:rsidRDefault="00000000">
      <w:pPr>
        <w:pStyle w:val="af5"/>
        <w:numPr>
          <w:ilvl w:val="0"/>
          <w:numId w:val="2"/>
        </w:numPr>
        <w:spacing w:afterLines="50" w:after="156" w:line="400" w:lineRule="exact"/>
        <w:contextualSpacing w:val="0"/>
        <w:rPr>
          <w:b/>
          <w:bCs/>
        </w:rPr>
      </w:pPr>
      <w:r>
        <w:rPr>
          <w:rFonts w:hint="eastAsia"/>
          <w:b/>
          <w:bCs/>
        </w:rPr>
        <w:t>行业主管部门</w:t>
      </w:r>
    </w:p>
    <w:p w14:paraId="7CA7BC79" w14:textId="77777777" w:rsidR="004B6C7F" w:rsidRDefault="00000000">
      <w:pPr>
        <w:spacing w:afterLines="50" w:after="156" w:line="400" w:lineRule="exact"/>
        <w:ind w:left="357" w:firstLineChars="200" w:firstLine="420"/>
      </w:pPr>
      <w:r>
        <w:rPr>
          <w:rFonts w:hint="eastAsia"/>
        </w:rPr>
        <w:t>数据合规的核查范围，除了在法律法规层面的共通要求外，还包括了其所在行业的特别规范和标准。而行业主管部门的确定，对于识别拟上市企业所涉的行业特定规范和标准，将起到十分关键的作用。如工业和信息化领域，扩展的合规识别范围不仅包含了《工业和信息化领域数据安全管理办法（试行）》的相关规定，还包括了诸如《工业领域重要数据识别指南》等与特定合规识别内容有关的行业标准。对于其他行业所辖的特定要求同样“百舸争流”，需要在核查时予以特别关注和识别，避免遗漏。</w:t>
      </w:r>
    </w:p>
    <w:p w14:paraId="49F65B6D" w14:textId="77777777" w:rsidR="004B6C7F" w:rsidRDefault="00000000">
      <w:pPr>
        <w:pStyle w:val="af5"/>
        <w:numPr>
          <w:ilvl w:val="0"/>
          <w:numId w:val="2"/>
        </w:numPr>
        <w:spacing w:afterLines="50" w:after="156" w:line="400" w:lineRule="exact"/>
        <w:contextualSpacing w:val="0"/>
        <w:rPr>
          <w:b/>
          <w:bCs/>
        </w:rPr>
      </w:pPr>
      <w:r>
        <w:rPr>
          <w:rFonts w:hint="eastAsia"/>
          <w:b/>
          <w:bCs/>
        </w:rPr>
        <w:t>客户群体</w:t>
      </w:r>
    </w:p>
    <w:p w14:paraId="0B1E4CFA" w14:textId="77777777" w:rsidR="004B6C7F" w:rsidRDefault="00000000">
      <w:pPr>
        <w:spacing w:afterLines="50" w:after="156" w:line="400" w:lineRule="exact"/>
        <w:ind w:left="360" w:firstLineChars="200" w:firstLine="420"/>
      </w:pPr>
      <w:r>
        <w:rPr>
          <w:rFonts w:hint="eastAsia"/>
        </w:rPr>
        <w:t>优先初步了解企业的业务结构，有助于针对性的布局后续核查的侧重点。如对于以“</w:t>
      </w:r>
      <w:r>
        <w:rPr>
          <w:rFonts w:hint="eastAsia"/>
        </w:rPr>
        <w:t>C</w:t>
      </w:r>
      <w:r>
        <w:rPr>
          <w:rFonts w:hint="eastAsia"/>
        </w:rPr>
        <w:t>端”个人用户为客户的业务结构而言，则核查的重中之重势必应为“个人信息保护”；如业务以“</w:t>
      </w:r>
      <w:r>
        <w:rPr>
          <w:rFonts w:hint="eastAsia"/>
        </w:rPr>
        <w:t>B</w:t>
      </w:r>
      <w:r>
        <w:rPr>
          <w:rFonts w:hint="eastAsia"/>
        </w:rPr>
        <w:t>端”企业作为客户群体的，则“个人信息保护”的核查优先级将顺位后移，更多需要考虑的核查重点将转移至“系统产品的本地化部署”以及“数据处理的委托授权”等其他维度。</w:t>
      </w:r>
    </w:p>
    <w:p w14:paraId="247BC746" w14:textId="77777777" w:rsidR="004B6C7F" w:rsidRDefault="00000000">
      <w:pPr>
        <w:pStyle w:val="af5"/>
        <w:numPr>
          <w:ilvl w:val="0"/>
          <w:numId w:val="2"/>
        </w:numPr>
        <w:spacing w:afterLines="50" w:after="156" w:line="400" w:lineRule="exact"/>
        <w:contextualSpacing w:val="0"/>
        <w:rPr>
          <w:b/>
          <w:bCs/>
        </w:rPr>
      </w:pPr>
      <w:r>
        <w:rPr>
          <w:rFonts w:hint="eastAsia"/>
          <w:b/>
          <w:bCs/>
        </w:rPr>
        <w:t>业务地域</w:t>
      </w:r>
    </w:p>
    <w:p w14:paraId="3B98819A" w14:textId="77777777" w:rsidR="004B6C7F" w:rsidRDefault="00000000">
      <w:pPr>
        <w:spacing w:afterLines="50" w:after="156" w:line="400" w:lineRule="exact"/>
        <w:ind w:firstLineChars="200" w:firstLine="420"/>
      </w:pPr>
      <w:r>
        <w:rPr>
          <w:rFonts w:hint="eastAsia"/>
        </w:rPr>
        <w:t>拟上市企业的主营业务客户群体是否存在境外主体，其业务是否涉及“数据出境”场景，也是初步尽调的重点关注。如存在此类场景，则企业究竟应当通过申报数据出境安全评估，还是以个人信息出境标准合同或个人信息保护认证来实现数据出境的合规性，将成为后续进一步核查和分析的重点项。存在合规差异的情况下，如何通过切入了解企业的具体业务模式，准确协助企业选择高效的出境合规路径并加以完善，是核查工作中需要个性化的内容之一。</w:t>
      </w:r>
    </w:p>
    <w:p w14:paraId="64B0BB1F" w14:textId="77777777" w:rsidR="004B6C7F" w:rsidRDefault="004B6C7F">
      <w:pPr>
        <w:spacing w:afterLines="50" w:after="156" w:line="400" w:lineRule="exact"/>
        <w:ind w:left="360" w:firstLineChars="200" w:firstLine="420"/>
      </w:pPr>
    </w:p>
    <w:p w14:paraId="6B078DB8" w14:textId="77777777" w:rsidR="004B6C7F" w:rsidRDefault="00000000">
      <w:pPr>
        <w:spacing w:afterLines="50" w:after="156" w:line="400" w:lineRule="exact"/>
        <w:jc w:val="center"/>
        <w:rPr>
          <w:b/>
          <w:bCs/>
        </w:rPr>
      </w:pPr>
      <w:r>
        <w:rPr>
          <w:rFonts w:hint="eastAsia"/>
          <w:b/>
          <w:bCs/>
        </w:rPr>
        <w:t>三</w:t>
      </w:r>
      <w:r>
        <w:rPr>
          <w:b/>
          <w:bCs/>
        </w:rPr>
        <w:t>、</w:t>
      </w:r>
      <w:r>
        <w:rPr>
          <w:rFonts w:hint="eastAsia"/>
          <w:b/>
          <w:bCs/>
        </w:rPr>
        <w:t>数据的载体——“系统和应用”</w:t>
      </w:r>
    </w:p>
    <w:p w14:paraId="1BD4B68B" w14:textId="77777777" w:rsidR="004B6C7F" w:rsidRDefault="00000000">
      <w:pPr>
        <w:spacing w:afterLines="50" w:after="156" w:line="400" w:lineRule="exact"/>
        <w:ind w:firstLineChars="200" w:firstLine="420"/>
      </w:pPr>
      <w:r>
        <w:rPr>
          <w:rFonts w:hint="eastAsia"/>
        </w:rPr>
        <w:t>企业在其主营业务中所使用的系统和应用，是其日常业务经营活动及数据处理活动的载体和连接处。它们既成为了现代企业日常管理中不可或缺的资产，也往往会是其业务产品或服务的一部分，而大量数据就是以此为节点进行存储、使用和交互等处理活动。系统和应用不仅是监管的重点关注项之一，其本身也是企业数据流及其合规性最直接的证明标签之一。</w:t>
      </w:r>
    </w:p>
    <w:p w14:paraId="4A6BBF26" w14:textId="77777777" w:rsidR="004B6C7F" w:rsidRDefault="00000000">
      <w:pPr>
        <w:pStyle w:val="af5"/>
        <w:numPr>
          <w:ilvl w:val="0"/>
          <w:numId w:val="3"/>
        </w:numPr>
        <w:spacing w:afterLines="50" w:after="156" w:line="400" w:lineRule="exact"/>
        <w:contextualSpacing w:val="0"/>
      </w:pPr>
      <w:r>
        <w:rPr>
          <w:b/>
          <w:bCs/>
        </w:rPr>
        <w:t>业务</w:t>
      </w:r>
      <w:r>
        <w:rPr>
          <w:rFonts w:hint="eastAsia"/>
          <w:b/>
          <w:bCs/>
        </w:rPr>
        <w:t>管理</w:t>
      </w:r>
      <w:r>
        <w:rPr>
          <w:b/>
          <w:bCs/>
        </w:rPr>
        <w:t>系统</w:t>
      </w:r>
    </w:p>
    <w:p w14:paraId="2290E7AD" w14:textId="77777777" w:rsidR="004B6C7F" w:rsidRDefault="00000000">
      <w:pPr>
        <w:spacing w:afterLines="50" w:after="156" w:line="400" w:lineRule="exact"/>
        <w:ind w:left="360" w:firstLineChars="200" w:firstLine="420"/>
      </w:pPr>
      <w:r>
        <w:rPr>
          <w:rFonts w:hint="eastAsia"/>
        </w:rPr>
        <w:lastRenderedPageBreak/>
        <w:t>企业在部署如</w:t>
      </w:r>
      <w:r>
        <w:rPr>
          <w:rFonts w:hint="eastAsia"/>
        </w:rPr>
        <w:t>CRM</w:t>
      </w:r>
      <w:r>
        <w:rPr>
          <w:rStyle w:val="af2"/>
        </w:rPr>
        <w:footnoteReference w:id="2"/>
      </w:r>
      <w:r>
        <w:rPr>
          <w:rFonts w:hint="eastAsia"/>
        </w:rPr>
        <w:t>、</w:t>
      </w:r>
      <w:r>
        <w:rPr>
          <w:rFonts w:hint="eastAsia"/>
        </w:rPr>
        <w:t>SRM</w:t>
      </w:r>
      <w:r>
        <w:rPr>
          <w:rStyle w:val="af2"/>
        </w:rPr>
        <w:footnoteReference w:id="3"/>
      </w:r>
      <w:r>
        <w:rPr>
          <w:rFonts w:hint="eastAsia"/>
        </w:rPr>
        <w:t>、</w:t>
      </w:r>
      <w:r>
        <w:rPr>
          <w:rFonts w:hint="eastAsia"/>
        </w:rPr>
        <w:t>ERP</w:t>
      </w:r>
      <w:r>
        <w:rPr>
          <w:rStyle w:val="af2"/>
        </w:rPr>
        <w:footnoteReference w:id="4"/>
      </w:r>
      <w:r>
        <w:rPr>
          <w:rFonts w:hint="eastAsia"/>
        </w:rPr>
        <w:t>等业务管理系统时，往往根据其管理模式不同而择取不同的部署方式。有些企业愿意投入较高的成本在私有化服务器部署系统，以此确保高敏业务数据的私有性和安全性，而另一部分企业则从经济性和便利性角度考量，选择通过公有云或者直接采购市场认可度和占有量位于头部的</w:t>
      </w:r>
      <w:r>
        <w:t>第三方</w:t>
      </w:r>
      <w:r>
        <w:rPr>
          <w:rFonts w:hint="eastAsia"/>
        </w:rPr>
        <w:t>品牌</w:t>
      </w:r>
      <w:r>
        <w:t>SaaS</w:t>
      </w:r>
      <w:r>
        <w:rPr>
          <w:rStyle w:val="af2"/>
        </w:rPr>
        <w:footnoteReference w:id="5"/>
      </w:r>
      <w:r>
        <w:t>服务</w:t>
      </w:r>
      <w:r>
        <w:rPr>
          <w:rFonts w:hint="eastAsia"/>
        </w:rPr>
        <w:t>（如</w:t>
      </w:r>
      <w:r>
        <w:rPr>
          <w:rFonts w:hint="eastAsia"/>
        </w:rPr>
        <w:t>SAP</w:t>
      </w:r>
      <w:r>
        <w:rPr>
          <w:rFonts w:hint="eastAsia"/>
        </w:rPr>
        <w:t>、金蝶等）</w:t>
      </w:r>
      <w:r>
        <w:t>。</w:t>
      </w:r>
      <w:r>
        <w:rPr>
          <w:rFonts w:hint="eastAsia"/>
        </w:rPr>
        <w:t>初步尽调过程中，除了需要求企业全面披露其在用的业务管理系统外，还应当对业务管理系统的主要功能、来源、部署方式、数据处理类型以及该系统所具备的数据安全性证明材料等进行初步核查了解，以为后续对数据完整性、技术安全性以及合规措施有效性等方面的核查，提供有益的梳理框架和完整性印证。</w:t>
      </w:r>
    </w:p>
    <w:p w14:paraId="2C14ADA4" w14:textId="77777777" w:rsidR="004B6C7F" w:rsidRDefault="00000000">
      <w:pPr>
        <w:pStyle w:val="af5"/>
        <w:numPr>
          <w:ilvl w:val="0"/>
          <w:numId w:val="3"/>
        </w:numPr>
        <w:spacing w:afterLines="50" w:after="156" w:line="400" w:lineRule="exact"/>
        <w:contextualSpacing w:val="0"/>
        <w:rPr>
          <w:b/>
          <w:bCs/>
        </w:rPr>
      </w:pPr>
      <w:r>
        <w:rPr>
          <w:rFonts w:hint="eastAsia"/>
          <w:b/>
          <w:bCs/>
        </w:rPr>
        <w:t>作为产品或服务的系统平台</w:t>
      </w:r>
    </w:p>
    <w:p w14:paraId="30564598" w14:textId="77777777" w:rsidR="004B6C7F" w:rsidRDefault="00000000">
      <w:pPr>
        <w:spacing w:afterLines="50" w:after="156" w:line="400" w:lineRule="exact"/>
        <w:ind w:left="360" w:firstLineChars="200" w:firstLine="420"/>
      </w:pPr>
      <w:r>
        <w:rPr>
          <w:rFonts w:hint="eastAsia"/>
        </w:rPr>
        <w:t>港股</w:t>
      </w:r>
      <w:r>
        <w:rPr>
          <w:rFonts w:hint="eastAsia"/>
        </w:rPr>
        <w:t>IPO</w:t>
      </w:r>
      <w:r>
        <w:rPr>
          <w:rFonts w:hint="eastAsia"/>
        </w:rPr>
        <w:t>企业多见以科技为“亮点”，从产品和服务的提供方式而言，包括客户本地化部署、云端部署、乃至互联网平台或</w:t>
      </w:r>
      <w:r>
        <w:rPr>
          <w:rFonts w:hint="eastAsia"/>
        </w:rPr>
        <w:t>SaaS</w:t>
      </w:r>
      <w:r>
        <w:rPr>
          <w:rFonts w:hint="eastAsia"/>
        </w:rPr>
        <w:t>等多样化形式。特别是通过云端部署、或直接提供互联网平台服务的业务模式，其必然存在与第三方的数据交互问题，结合对于客户群体等因素的综合考量，企业所需应对和满足的数据合规侧重也就呼之欲出了。</w:t>
      </w:r>
    </w:p>
    <w:p w14:paraId="78B8A9F6" w14:textId="77777777" w:rsidR="004B6C7F" w:rsidRDefault="00000000">
      <w:pPr>
        <w:pStyle w:val="af5"/>
        <w:numPr>
          <w:ilvl w:val="0"/>
          <w:numId w:val="3"/>
        </w:numPr>
        <w:spacing w:afterLines="50" w:after="156" w:line="400" w:lineRule="exact"/>
        <w:contextualSpacing w:val="0"/>
      </w:pPr>
      <w:r>
        <w:rPr>
          <w:rFonts w:hint="eastAsia"/>
          <w:b/>
          <w:bCs/>
        </w:rPr>
        <w:t>WEB</w:t>
      </w:r>
      <w:r>
        <w:rPr>
          <w:rFonts w:hint="eastAsia"/>
          <w:b/>
          <w:bCs/>
        </w:rPr>
        <w:t>和移动端应用</w:t>
      </w:r>
    </w:p>
    <w:p w14:paraId="5F5D4916" w14:textId="77777777" w:rsidR="004B6C7F" w:rsidRDefault="00000000">
      <w:pPr>
        <w:spacing w:afterLines="50" w:after="156" w:line="400" w:lineRule="exact"/>
        <w:ind w:left="360" w:firstLineChars="200" w:firstLine="420"/>
      </w:pPr>
      <w:r>
        <w:rPr>
          <w:rFonts w:hint="eastAsia"/>
        </w:rPr>
        <w:t>企业通常会通过私有或公有服务器来部署自己的官方网站，有些仅用于展示和宣传，有些则具备如岗位招聘、接洽留言等更多的“功用”，而提供互联网平台服务的企业，官网即是其产品或服务平台之一</w:t>
      </w:r>
      <w:r>
        <w:t>。</w:t>
      </w:r>
    </w:p>
    <w:p w14:paraId="18C9C19D" w14:textId="77777777" w:rsidR="004B6C7F" w:rsidRDefault="00000000">
      <w:pPr>
        <w:spacing w:afterLines="50" w:after="156" w:line="400" w:lineRule="exact"/>
        <w:ind w:left="360" w:firstLineChars="200" w:firstLine="420"/>
      </w:pPr>
      <w:r>
        <w:rPr>
          <w:rFonts w:hint="eastAsia"/>
        </w:rPr>
        <w:t>与此同时，在手机已成为必需品的当今，无论是“</w:t>
      </w:r>
      <w:r>
        <w:rPr>
          <w:rFonts w:hint="eastAsia"/>
        </w:rPr>
        <w:t>to-B</w:t>
      </w:r>
      <w:r>
        <w:rPr>
          <w:rFonts w:hint="eastAsia"/>
        </w:rPr>
        <w:t>”还是“</w:t>
      </w:r>
      <w:r>
        <w:rPr>
          <w:rFonts w:hint="eastAsia"/>
        </w:rPr>
        <w:t>to-C</w:t>
      </w:r>
      <w:r>
        <w:rPr>
          <w:rFonts w:hint="eastAsia"/>
        </w:rPr>
        <w:t>”，或许是仅作为展示宣传，亦或直接提供主营业务的相关产品或服务功能，已经很少有企业不选择在移动端部署</w:t>
      </w:r>
      <w:r>
        <w:rPr>
          <w:rFonts w:hint="eastAsia"/>
        </w:rPr>
        <w:t>App</w:t>
      </w:r>
      <w:r>
        <w:rPr>
          <w:rFonts w:hint="eastAsia"/>
        </w:rPr>
        <w:t>、小程序等移动应用。同时，在私域客户服务中，利用公众号</w:t>
      </w:r>
      <w:r>
        <w:rPr>
          <w:rFonts w:hint="eastAsia"/>
        </w:rPr>
        <w:t>/</w:t>
      </w:r>
      <w:r>
        <w:rPr>
          <w:rFonts w:hint="eastAsia"/>
        </w:rPr>
        <w:t>服务号，以及抖音、小红书、微博等平台进行营销和服务提供，也是十分常见的载体形式。</w:t>
      </w:r>
    </w:p>
    <w:p w14:paraId="0F1557BD" w14:textId="77777777" w:rsidR="004B6C7F" w:rsidRDefault="00000000">
      <w:pPr>
        <w:spacing w:afterLines="50" w:after="156" w:line="400" w:lineRule="exact"/>
        <w:ind w:left="360" w:firstLineChars="200" w:firstLine="420"/>
      </w:pPr>
      <w:r>
        <w:rPr>
          <w:rFonts w:hint="eastAsia"/>
        </w:rPr>
        <w:t>这些</w:t>
      </w:r>
      <w:r>
        <w:rPr>
          <w:rFonts w:hint="eastAsia"/>
        </w:rPr>
        <w:t>WEB</w:t>
      </w:r>
      <w:r>
        <w:rPr>
          <w:rFonts w:hint="eastAsia"/>
        </w:rPr>
        <w:t>和移动端的应用，除了作为数据存储及交互的载体外，同时其本身也需要满足备案、公示等合规要求。除此以外，通过对这些应用的用途、用户类型和规模等情况进行进一步核查，也会为后续结合应用演示时对数据流和合规要点的把控起到重要的引导作用。</w:t>
      </w:r>
    </w:p>
    <w:p w14:paraId="40D3ADE0" w14:textId="77777777" w:rsidR="004B6C7F" w:rsidRDefault="00000000">
      <w:pPr>
        <w:pStyle w:val="af5"/>
        <w:numPr>
          <w:ilvl w:val="0"/>
          <w:numId w:val="3"/>
        </w:numPr>
        <w:spacing w:afterLines="50" w:after="156" w:line="400" w:lineRule="exact"/>
        <w:contextualSpacing w:val="0"/>
        <w:rPr>
          <w:b/>
          <w:bCs/>
        </w:rPr>
      </w:pPr>
      <w:r>
        <w:rPr>
          <w:rFonts w:hint="eastAsia"/>
          <w:b/>
          <w:bCs/>
        </w:rPr>
        <w:t>算法和大模型</w:t>
      </w:r>
    </w:p>
    <w:p w14:paraId="13C23768" w14:textId="77777777" w:rsidR="004B6C7F" w:rsidRDefault="00000000">
      <w:pPr>
        <w:spacing w:afterLines="50" w:after="156" w:line="400" w:lineRule="exact"/>
        <w:ind w:firstLineChars="200" w:firstLine="420"/>
      </w:pPr>
      <w:r>
        <w:rPr>
          <w:rFonts w:hint="eastAsia"/>
        </w:rPr>
        <w:t>近年来，越来越多以“算法和人工智能”为业务亮点的企业申请</w:t>
      </w:r>
      <w:r>
        <w:rPr>
          <w:rFonts w:hint="eastAsia"/>
        </w:rPr>
        <w:t>IPO</w:t>
      </w:r>
      <w:r>
        <w:rPr>
          <w:rFonts w:hint="eastAsia"/>
        </w:rPr>
        <w:t>，这一领域也自然而然地成为了监管深度核查的“必经之处”。虽然严格意义上而言，并非所有企业都会将算</w:t>
      </w:r>
      <w:r>
        <w:rPr>
          <w:rFonts w:hint="eastAsia"/>
        </w:rPr>
        <w:lastRenderedPageBreak/>
        <w:t>法和大模型嵌入系统平台进行应用（例如通过封装到硬件设备中进行部署和使用的场景等），但考虑到其与前述业务系统、</w:t>
      </w:r>
      <w:r>
        <w:rPr>
          <w:rFonts w:hint="eastAsia"/>
        </w:rPr>
        <w:t>WEB</w:t>
      </w:r>
      <w:r>
        <w:rPr>
          <w:rFonts w:hint="eastAsia"/>
        </w:rPr>
        <w:t>应用一般，具有承载和处理数据的“共性”（算法和大模型处理其用于预训练、优化等环节的训练数据），同时在特定应用场景下，算法和人工智能大模型本身亦需满足评估、备案等合规要求，因此，初步尽调中需要对企业的核心算法和人工智能大模型的主要功能、技术应用场景、部署方式及数据类型等要素进行初步核查，以作全面了解后掌握准确的合规核查推进目标。</w:t>
      </w:r>
    </w:p>
    <w:p w14:paraId="1CD439C5" w14:textId="77777777" w:rsidR="004B6C7F" w:rsidRDefault="004B6C7F">
      <w:pPr>
        <w:spacing w:afterLines="50" w:after="156" w:line="400" w:lineRule="exact"/>
        <w:ind w:left="360" w:firstLineChars="200" w:firstLine="420"/>
      </w:pPr>
    </w:p>
    <w:p w14:paraId="14B8FBC2" w14:textId="77777777" w:rsidR="004B6C7F" w:rsidRDefault="00000000">
      <w:pPr>
        <w:spacing w:afterLines="50" w:after="156" w:line="360" w:lineRule="exact"/>
        <w:jc w:val="center"/>
        <w:rPr>
          <w:b/>
          <w:bCs/>
        </w:rPr>
      </w:pPr>
      <w:r>
        <w:rPr>
          <w:rFonts w:hint="eastAsia"/>
          <w:b/>
          <w:bCs/>
        </w:rPr>
        <w:t>四</w:t>
      </w:r>
      <w:r>
        <w:rPr>
          <w:b/>
          <w:bCs/>
        </w:rPr>
        <w:t>、</w:t>
      </w:r>
      <w:r>
        <w:rPr>
          <w:rFonts w:hint="eastAsia"/>
          <w:b/>
          <w:bCs/>
        </w:rPr>
        <w:t>安全的客体——“数据”</w:t>
      </w:r>
    </w:p>
    <w:p w14:paraId="179EF601" w14:textId="77777777" w:rsidR="004B6C7F" w:rsidRDefault="00000000">
      <w:pPr>
        <w:spacing w:afterLines="50" w:after="156" w:line="400" w:lineRule="exact"/>
        <w:ind w:firstLineChars="200" w:firstLine="420"/>
      </w:pPr>
      <w:r>
        <w:rPr>
          <w:rFonts w:hint="eastAsia"/>
        </w:rPr>
        <w:t>在全面了解主体“身份”、业务领域以及系统应用情况后，作为数据合规的主角——“数据”的核查将是重中之重，前述的核查内容亦是为后续核查企业数据处理的合规基底作铺垫。</w:t>
      </w:r>
    </w:p>
    <w:p w14:paraId="48504480" w14:textId="77777777" w:rsidR="004B6C7F" w:rsidRDefault="00000000">
      <w:pPr>
        <w:pStyle w:val="af5"/>
        <w:numPr>
          <w:ilvl w:val="0"/>
          <w:numId w:val="4"/>
        </w:numPr>
        <w:spacing w:afterLines="50" w:after="156" w:line="400" w:lineRule="exact"/>
        <w:contextualSpacing w:val="0"/>
        <w:rPr>
          <w:b/>
          <w:bCs/>
        </w:rPr>
      </w:pPr>
      <w:r>
        <w:rPr>
          <w:rFonts w:hint="eastAsia"/>
          <w:b/>
          <w:bCs/>
        </w:rPr>
        <w:t>主营业务中所处理的数据类别</w:t>
      </w:r>
    </w:p>
    <w:p w14:paraId="4A60CEEC" w14:textId="77777777" w:rsidR="004B6C7F" w:rsidRDefault="00000000">
      <w:pPr>
        <w:spacing w:afterLines="50" w:after="156" w:line="400" w:lineRule="exact"/>
        <w:ind w:left="360" w:firstLineChars="200" w:firstLine="420"/>
      </w:pPr>
      <w:r>
        <w:rPr>
          <w:rFonts w:hint="eastAsia"/>
        </w:rPr>
        <w:t>企业通常会根据数据应用的实际需求，对在日常活动中所处理的数据进行不同维度的分类，一般而言，从监管维度的侧重点出发，可以将数据区分为“个人信息”以及不包含个人信息的“企业数据”两大类别区分核查。对于个人信息，又可考虑从常见主体角度进一步粗分为</w:t>
      </w:r>
      <w:r>
        <w:rPr>
          <w:rFonts w:hint="eastAsia"/>
        </w:rPr>
        <w:t>C</w:t>
      </w:r>
      <w:r>
        <w:rPr>
          <w:rFonts w:hint="eastAsia"/>
        </w:rPr>
        <w:t>端用户个人信息、员工个人信息以及</w:t>
      </w:r>
      <w:r>
        <w:rPr>
          <w:rFonts w:hint="eastAsia"/>
        </w:rPr>
        <w:t>B</w:t>
      </w:r>
      <w:r>
        <w:rPr>
          <w:rFonts w:hint="eastAsia"/>
        </w:rPr>
        <w:t>端客户及供应商的联系人信息等；而对于“企业数据”，则可以考虑先从“数据来源”角度进一步粗分为客户数据和自有数据（通常为日常经营管理产生的数据，如业务数据、供应链数据、财务数据等）等。在此数据粗分的基础上，再进一步对其具体字段、处理方式和存储位置等信息做适当展开，以全面、清晰地概览到企业所处理数据的“全貌”。</w:t>
      </w:r>
    </w:p>
    <w:p w14:paraId="7EEF0733" w14:textId="77777777" w:rsidR="004B6C7F" w:rsidRDefault="00000000">
      <w:pPr>
        <w:pStyle w:val="af5"/>
        <w:numPr>
          <w:ilvl w:val="0"/>
          <w:numId w:val="4"/>
        </w:numPr>
        <w:spacing w:afterLines="50" w:after="156" w:line="400" w:lineRule="exact"/>
        <w:contextualSpacing w:val="0"/>
        <w:rPr>
          <w:b/>
          <w:bCs/>
        </w:rPr>
      </w:pPr>
      <w:r>
        <w:rPr>
          <w:rFonts w:hint="eastAsia"/>
          <w:b/>
          <w:bCs/>
        </w:rPr>
        <w:t>数据处理活动重点关注项</w:t>
      </w:r>
    </w:p>
    <w:p w14:paraId="32F43D11" w14:textId="77777777" w:rsidR="004B6C7F" w:rsidRDefault="00000000">
      <w:pPr>
        <w:pStyle w:val="af5"/>
        <w:numPr>
          <w:ilvl w:val="1"/>
          <w:numId w:val="4"/>
        </w:numPr>
        <w:spacing w:afterLines="50" w:after="156" w:line="400" w:lineRule="exact"/>
        <w:contextualSpacing w:val="0"/>
      </w:pPr>
      <w:r>
        <w:rPr>
          <w:rFonts w:hint="eastAsia"/>
        </w:rPr>
        <w:t>数据类别的重点关注——敏感个人信息、重要数据、训练数据</w:t>
      </w:r>
    </w:p>
    <w:p w14:paraId="5ED793A9" w14:textId="77777777" w:rsidR="004B6C7F" w:rsidRDefault="00000000">
      <w:pPr>
        <w:pStyle w:val="af5"/>
        <w:numPr>
          <w:ilvl w:val="0"/>
          <w:numId w:val="5"/>
        </w:numPr>
        <w:spacing w:afterLines="50" w:after="156" w:line="400" w:lineRule="exact"/>
      </w:pPr>
      <w:r>
        <w:rPr>
          <w:rFonts w:hint="eastAsia"/>
        </w:rPr>
        <w:t>敏感个人信息</w:t>
      </w:r>
    </w:p>
    <w:p w14:paraId="0F48961C" w14:textId="77777777" w:rsidR="004B6C7F" w:rsidRDefault="00000000">
      <w:pPr>
        <w:spacing w:afterLines="50" w:after="156" w:line="400" w:lineRule="exact"/>
        <w:ind w:firstLineChars="200" w:firstLine="420"/>
      </w:pPr>
      <w:r>
        <w:rPr>
          <w:rFonts w:hint="eastAsia"/>
        </w:rPr>
        <w:t>在个人信息大类中，处理敏感个人信息对个人权益可能产生的影响和风险，相较于一般个人信息而言更为重大，因此对于企业所处理敏感个人信息的识别工作，是个人信息初步尽调环节的重点。依照《个人信息保护法》对敏感个人信息的定义及示例，并结合如《信息安全技术</w:t>
      </w:r>
      <w:r>
        <w:rPr>
          <w:rFonts w:hint="eastAsia"/>
        </w:rPr>
        <w:t xml:space="preserve"> </w:t>
      </w:r>
      <w:r>
        <w:rPr>
          <w:rFonts w:hint="eastAsia"/>
        </w:rPr>
        <w:t>个人信息安全规范》（</w:t>
      </w:r>
      <w:r>
        <w:rPr>
          <w:rFonts w:hint="eastAsia"/>
        </w:rPr>
        <w:t>GB/T 35273-2020</w:t>
      </w:r>
      <w:r>
        <w:rPr>
          <w:rFonts w:hint="eastAsia"/>
        </w:rPr>
        <w:t>）以及《数据安全技术</w:t>
      </w:r>
      <w:r>
        <w:rPr>
          <w:rFonts w:hint="eastAsia"/>
        </w:rPr>
        <w:t xml:space="preserve"> </w:t>
      </w:r>
      <w:r>
        <w:rPr>
          <w:rFonts w:hint="eastAsia"/>
        </w:rPr>
        <w:t>敏感个人信息处理安全要求》（</w:t>
      </w:r>
      <w:r>
        <w:rPr>
          <w:rFonts w:hint="eastAsia"/>
        </w:rPr>
        <w:t>GB/T 45574-2025</w:t>
      </w:r>
      <w:r>
        <w:rPr>
          <w:rFonts w:hint="eastAsia"/>
        </w:rPr>
        <w:t>）等国标附录的识别示例，有助于企业准确识别个人信息处理活动中涉及的敏感个人信息字段，并进一步确认其规模、处理方式、保存期限等内容，为后续的合规差异分析和风险识别提供重要事实基础。</w:t>
      </w:r>
    </w:p>
    <w:p w14:paraId="6EB3703C" w14:textId="77777777" w:rsidR="004B6C7F" w:rsidRDefault="00000000">
      <w:pPr>
        <w:pStyle w:val="af5"/>
        <w:numPr>
          <w:ilvl w:val="0"/>
          <w:numId w:val="5"/>
        </w:numPr>
        <w:spacing w:afterLines="50" w:after="156" w:line="400" w:lineRule="exact"/>
      </w:pPr>
      <w:r>
        <w:rPr>
          <w:rFonts w:hint="eastAsia"/>
        </w:rPr>
        <w:t>重要数据</w:t>
      </w:r>
    </w:p>
    <w:p w14:paraId="74E5933F" w14:textId="77777777" w:rsidR="004B6C7F" w:rsidRDefault="00000000">
      <w:pPr>
        <w:spacing w:afterLines="50" w:after="156" w:line="400" w:lineRule="exact"/>
        <w:ind w:firstLineChars="200" w:firstLine="420"/>
      </w:pPr>
      <w:r>
        <w:rPr>
          <w:rFonts w:hint="eastAsia"/>
        </w:rPr>
        <w:lastRenderedPageBreak/>
        <w:t>而对于非个人信息的企业数据而言，尽调核查的重点则在于如何准确识别“重要数据”。依据《网络数据安全管理条例》给出的定义，特定领域、特定群体、特定区域或者达到一定精度和规模，一旦遭到篡改、破坏、泄露或者非法获取、非法利用，可能直接危害国家安全、经济运行、社会稳定、公共健康和安全的数据，应被识别为“重要数据”，并按照相关法律法规的要求，实施更为严格的安全合规措施。但“重要数据”的通用识别依据，除了前述抽象定义外，目前可完整参照的规范文件，仅有《数据安全技术</w:t>
      </w:r>
      <w:r>
        <w:t xml:space="preserve"> </w:t>
      </w:r>
      <w:r>
        <w:rPr>
          <w:rFonts w:hint="eastAsia"/>
        </w:rPr>
        <w:t>数据分类分级规则》（</w:t>
      </w:r>
      <w:r>
        <w:t>GB/T 43697-2024</w:t>
      </w:r>
      <w:r>
        <w:rPr>
          <w:rFonts w:hint="eastAsia"/>
        </w:rPr>
        <w:t>）的附录《重要数据识别指南》，而实践中的准确识别工作主要还是仰赖不同行业领域主管部门制定出具的重要数据目录或识别指南，如工业领域的《工业领域重要数据识别指南》、电信领域的《电信领域重要数据识别指南》、汽车领域的《汽车数据安全管理若干规定（试行）》、自然资源领域的《地理信息数据分类分级工作指南（试行）》、统计领域的《统计数据安全管理办法》等等。企业可参照对应行业领域出具的指南和目录完成识别工作，为后续的合规核查和整改优化工作提供切实的基础依据。</w:t>
      </w:r>
    </w:p>
    <w:p w14:paraId="264ED5FE" w14:textId="77777777" w:rsidR="004B6C7F" w:rsidRDefault="00000000">
      <w:pPr>
        <w:pStyle w:val="af5"/>
        <w:numPr>
          <w:ilvl w:val="0"/>
          <w:numId w:val="5"/>
        </w:numPr>
        <w:spacing w:afterLines="50" w:after="156" w:line="400" w:lineRule="exact"/>
      </w:pPr>
      <w:r>
        <w:rPr>
          <w:rFonts w:hint="eastAsia"/>
        </w:rPr>
        <w:t>算法模型训练数据</w:t>
      </w:r>
    </w:p>
    <w:p w14:paraId="39743FB9" w14:textId="77777777" w:rsidR="004B6C7F" w:rsidRDefault="00000000">
      <w:pPr>
        <w:spacing w:afterLines="50" w:after="156" w:line="400" w:lineRule="exact"/>
        <w:ind w:firstLineChars="200" w:firstLine="420"/>
      </w:pPr>
      <w:r>
        <w:rPr>
          <w:rFonts w:hint="eastAsia"/>
        </w:rPr>
        <w:t>依据《互联网信息服务深度合成管理规定》的定义，训练数据，是指被用于训练机器学习模型的标注或者基准数据集。《网络数据安全管理条例》在行政法规层面，特别针对生成式人工智能服务，要求“加强对训练数据和训练数据处理活动的安全管理，采取有效措施防范和处置网络数据安全风险”。而《生成式人工智能服务管理暂行办法》则进一步针对训练数据来源及其处理活动提出了更为具体的合规要求。因此，对于应用算法和人工智能技术提供产品和服务的企业而言，除对其算法和大模型进行核查外，还需要进一步对其用于算法和模型训练的数据来源、规模、类型、标注规则等内容展开核查，以便充分掌握和安排后续的核查乃至整改重点，以满足必要的数据合规要求。</w:t>
      </w:r>
    </w:p>
    <w:p w14:paraId="3BBD7CDD" w14:textId="77777777" w:rsidR="004B6C7F" w:rsidRDefault="00000000">
      <w:pPr>
        <w:pStyle w:val="af5"/>
        <w:numPr>
          <w:ilvl w:val="1"/>
          <w:numId w:val="4"/>
        </w:numPr>
        <w:spacing w:afterLines="50" w:after="156" w:line="400" w:lineRule="exact"/>
        <w:contextualSpacing w:val="0"/>
        <w:rPr>
          <w:u w:val="single"/>
        </w:rPr>
      </w:pPr>
      <w:r>
        <w:rPr>
          <w:rFonts w:hint="eastAsia"/>
        </w:rPr>
        <w:t>数据处理活动的重点关注——数据“交互”活动</w:t>
      </w:r>
    </w:p>
    <w:p w14:paraId="6F6C1043" w14:textId="77777777" w:rsidR="004B6C7F" w:rsidRDefault="00000000">
      <w:pPr>
        <w:spacing w:afterLines="50" w:after="156" w:line="400" w:lineRule="exact"/>
        <w:ind w:firstLineChars="200" w:firstLine="420"/>
      </w:pPr>
      <w:r>
        <w:rPr>
          <w:rFonts w:hint="eastAsia"/>
        </w:rPr>
        <w:t>数据在流动中产生价值。企业依赖客户增长业务和获取收益，依靠自身技术和供应链维系产出和保障储备，因此，不仅要关注静态场景下的数据，更需关注数据在流动和第三方交互环节中的合规风险。数据交互的处理活动通常包括三类场景，即委托第三方处理数据、向第三方提供数据以及与第三方共同处理数据；此外，特殊场景包括企业合并、分立时的数据转移等，也需纳入考量。通过企业梳理的数据流图，厘清数据“交互”活动中的数据类型、交互法律关系、主体名称、交互场景和目的等事项，是识别对应交互活动下所应满足的数据合规要求所必需的基础事实。后续核查中，我们可以通过收集业务合同、数据处理协议以及可能存在的评估审计文件等，进一步开展合规差异分析并提出整改优化建议。</w:t>
      </w:r>
    </w:p>
    <w:p w14:paraId="1FB8BC59" w14:textId="77777777" w:rsidR="004B6C7F" w:rsidRDefault="004B6C7F">
      <w:pPr>
        <w:spacing w:afterLines="50" w:after="156" w:line="400" w:lineRule="exact"/>
        <w:ind w:firstLineChars="200" w:firstLine="420"/>
      </w:pPr>
    </w:p>
    <w:p w14:paraId="0D1E6C4A" w14:textId="77777777" w:rsidR="004B6C7F" w:rsidRDefault="00000000">
      <w:pPr>
        <w:spacing w:afterLines="50" w:after="156" w:line="360" w:lineRule="exact"/>
        <w:jc w:val="center"/>
        <w:rPr>
          <w:b/>
          <w:bCs/>
        </w:rPr>
      </w:pPr>
      <w:r>
        <w:rPr>
          <w:b/>
          <w:bCs/>
        </w:rPr>
        <w:t>五、</w:t>
      </w:r>
      <w:r>
        <w:rPr>
          <w:rFonts w:hint="eastAsia"/>
          <w:b/>
          <w:bCs/>
        </w:rPr>
        <w:t>历史的“见证”——安全及监管事件</w:t>
      </w:r>
    </w:p>
    <w:p w14:paraId="632D1112" w14:textId="77777777" w:rsidR="004B6C7F" w:rsidRDefault="00000000">
      <w:pPr>
        <w:spacing w:afterLines="50" w:after="156" w:line="360" w:lineRule="exact"/>
        <w:ind w:firstLineChars="200" w:firstLine="420"/>
      </w:pPr>
      <w:r>
        <w:lastRenderedPageBreak/>
        <w:t>港股</w:t>
      </w:r>
      <w:r>
        <w:t>IPO</w:t>
      </w:r>
      <w:r>
        <w:t>数据合规核查，不仅</w:t>
      </w:r>
      <w:r>
        <w:rPr>
          <w:rFonts w:hint="eastAsia"/>
        </w:rPr>
        <w:t>需要对“</w:t>
      </w:r>
      <w:r>
        <w:t>合规</w:t>
      </w:r>
      <w:r>
        <w:rPr>
          <w:rFonts w:hint="eastAsia"/>
        </w:rPr>
        <w:t>现状”进行核查确认</w:t>
      </w:r>
      <w:r>
        <w:t>，还</w:t>
      </w:r>
      <w:r>
        <w:rPr>
          <w:rFonts w:hint="eastAsia"/>
        </w:rPr>
        <w:t>需要对业绩期内发生的“历史事件”进行核查，了解企业数据合规的“过往”，以此展现和</w:t>
      </w:r>
      <w:r>
        <w:t>验证企业</w:t>
      </w:r>
      <w:r>
        <w:rPr>
          <w:rFonts w:hint="eastAsia"/>
        </w:rPr>
        <w:t>“</w:t>
      </w:r>
      <w:r>
        <w:t>合规的持续性</w:t>
      </w:r>
      <w:r>
        <w:rPr>
          <w:rFonts w:hint="eastAsia"/>
        </w:rPr>
        <w:t>”以及“</w:t>
      </w:r>
      <w:r>
        <w:t>风险的可控性</w:t>
      </w:r>
      <w:r>
        <w:rPr>
          <w:rFonts w:hint="eastAsia"/>
        </w:rPr>
        <w:t>”</w:t>
      </w:r>
      <w:r>
        <w:t>。</w:t>
      </w:r>
      <w:r>
        <w:rPr>
          <w:rFonts w:hint="eastAsia"/>
        </w:rPr>
        <w:t>与数据合规相关的历史安全及监管事件，包括但不限于监管部门对于数据合规事项的执法调查、约谈以及责令整改，与数据被窃取、泄漏、损坏或丢失有关的重大网络和数据安全事件，个人信息主体的投诉、举报，</w:t>
      </w:r>
      <w:bookmarkStart w:id="1" w:name="_Hlk207142984"/>
      <w:r>
        <w:rPr>
          <w:rFonts w:hint="eastAsia"/>
        </w:rPr>
        <w:t>以及与数据合规事项相关的诉讼、仲裁、行政处罚等</w:t>
      </w:r>
      <w:bookmarkEnd w:id="1"/>
      <w:r>
        <w:rPr>
          <w:rFonts w:hint="eastAsia"/>
        </w:rPr>
        <w:t>。</w:t>
      </w:r>
    </w:p>
    <w:p w14:paraId="52F4D699" w14:textId="77777777" w:rsidR="004B6C7F" w:rsidRDefault="004B6C7F">
      <w:pPr>
        <w:spacing w:afterLines="50" w:after="156" w:line="400" w:lineRule="exact"/>
      </w:pPr>
    </w:p>
    <w:p w14:paraId="15D99D7A" w14:textId="77777777" w:rsidR="004B6C7F" w:rsidRDefault="00000000">
      <w:pPr>
        <w:spacing w:afterLines="50" w:after="156" w:line="400" w:lineRule="exact"/>
        <w:jc w:val="center"/>
        <w:rPr>
          <w:b/>
          <w:bCs/>
        </w:rPr>
      </w:pPr>
      <w:r>
        <w:rPr>
          <w:rFonts w:hint="eastAsia"/>
          <w:b/>
          <w:bCs/>
        </w:rPr>
        <w:t>结语</w:t>
      </w:r>
    </w:p>
    <w:p w14:paraId="587B0864" w14:textId="77777777" w:rsidR="004B6C7F" w:rsidRDefault="00000000">
      <w:pPr>
        <w:spacing w:afterLines="50" w:after="156" w:line="400" w:lineRule="exact"/>
        <w:ind w:firstLineChars="200" w:firstLine="420"/>
      </w:pPr>
      <w:r>
        <w:rPr>
          <w:rFonts w:hint="eastAsia"/>
        </w:rPr>
        <w:t>综上，多重维度相互印证、层层展开，本质上是为拟上市企业绘制一张动态的数据合规基因图谱：</w:t>
      </w:r>
      <w:r>
        <w:rPr>
          <w:rFonts w:hint="eastAsia"/>
          <w:b/>
          <w:bCs/>
          <w:u w:val="single"/>
        </w:rPr>
        <w:t>身份标签决定合规基线</w:t>
      </w:r>
      <w:r>
        <w:rPr>
          <w:rFonts w:hint="eastAsia"/>
        </w:rPr>
        <w:t>，</w:t>
      </w:r>
      <w:r>
        <w:rPr>
          <w:rFonts w:hint="eastAsia"/>
          <w:b/>
          <w:bCs/>
          <w:u w:val="single"/>
        </w:rPr>
        <w:t>主营业务划定监管强度</w:t>
      </w:r>
      <w:r>
        <w:rPr>
          <w:rFonts w:hint="eastAsia"/>
        </w:rPr>
        <w:t>，</w:t>
      </w:r>
      <w:r>
        <w:rPr>
          <w:rFonts w:hint="eastAsia"/>
          <w:b/>
          <w:bCs/>
          <w:u w:val="single"/>
        </w:rPr>
        <w:t>系统应用承载风险敞口</w:t>
      </w:r>
      <w:r>
        <w:rPr>
          <w:rFonts w:hint="eastAsia"/>
        </w:rPr>
        <w:t>，</w:t>
      </w:r>
      <w:r>
        <w:rPr>
          <w:rFonts w:hint="eastAsia"/>
          <w:b/>
          <w:bCs/>
          <w:u w:val="single"/>
        </w:rPr>
        <w:t>数据本体明确保护重心</w:t>
      </w:r>
      <w:r>
        <w:rPr>
          <w:rFonts w:hint="eastAsia"/>
        </w:rPr>
        <w:t>，</w:t>
      </w:r>
      <w:r>
        <w:rPr>
          <w:rFonts w:hint="eastAsia"/>
          <w:b/>
          <w:bCs/>
          <w:u w:val="single"/>
        </w:rPr>
        <w:t>历史事件验证体系韧性</w:t>
      </w:r>
      <w:r>
        <w:rPr>
          <w:rFonts w:hint="eastAsia"/>
        </w:rPr>
        <w:t>。在港股</w:t>
      </w:r>
      <w:r>
        <w:rPr>
          <w:rFonts w:hint="eastAsia"/>
        </w:rPr>
        <w:t>IPO</w:t>
      </w:r>
      <w:r>
        <w:rPr>
          <w:rFonts w:hint="eastAsia"/>
        </w:rPr>
        <w:t>数据合规监管趋严、问询颗粒度不断细化的当下，构建企业数据合规“画像”并非简单的信息堆叠，而是一种将碎片化合规事实转化为结构化风险地图的实务方法论。透过相对准确、完整的“画像”图谱，能够高效助力核查律师团队在有限时间内，既能“登高望远”——从监管框架和行业特性中锚定核查坐标，又能“见微知著”——透过业务描述、系统架构与数据流转识别潜在风险。</w:t>
      </w:r>
    </w:p>
    <w:p w14:paraId="02FDD194" w14:textId="77777777" w:rsidR="004B6C7F" w:rsidRDefault="004B6C7F">
      <w:pPr>
        <w:spacing w:afterLines="50" w:after="156" w:line="400" w:lineRule="exact"/>
      </w:pPr>
    </w:p>
    <w:sectPr w:rsidR="004B6C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5492" w14:textId="77777777" w:rsidR="00DE76DC" w:rsidRDefault="00DE76DC">
      <w:r>
        <w:separator/>
      </w:r>
    </w:p>
  </w:endnote>
  <w:endnote w:type="continuationSeparator" w:id="0">
    <w:p w14:paraId="4E07E6D5" w14:textId="77777777" w:rsidR="00DE76DC" w:rsidRDefault="00DE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0053" w14:textId="77777777" w:rsidR="00DE76DC" w:rsidRDefault="00DE76DC">
      <w:r>
        <w:separator/>
      </w:r>
    </w:p>
  </w:footnote>
  <w:footnote w:type="continuationSeparator" w:id="0">
    <w:p w14:paraId="49639581" w14:textId="77777777" w:rsidR="00DE76DC" w:rsidRDefault="00DE76DC">
      <w:r>
        <w:continuationSeparator/>
      </w:r>
    </w:p>
  </w:footnote>
  <w:footnote w:id="1">
    <w:p w14:paraId="25B7C0FB" w14:textId="77777777" w:rsidR="004B6C7F" w:rsidRDefault="00000000">
      <w:pPr>
        <w:pStyle w:val="ab"/>
      </w:pPr>
      <w:r>
        <w:rPr>
          <w:rStyle w:val="af2"/>
        </w:rPr>
        <w:footnoteRef/>
      </w:r>
      <w:r>
        <w:t xml:space="preserve"> </w:t>
      </w:r>
      <w:r>
        <w:t>《关键信息基础设施安全保护条例》</w:t>
      </w:r>
      <w:r>
        <w:rPr>
          <w:rFonts w:hint="eastAsia"/>
        </w:rPr>
        <w:t>第二条。</w:t>
      </w:r>
    </w:p>
  </w:footnote>
  <w:footnote w:id="2">
    <w:p w14:paraId="15731A67" w14:textId="77777777" w:rsidR="004B6C7F" w:rsidRDefault="00000000">
      <w:pPr>
        <w:pStyle w:val="ab"/>
        <w:rPr>
          <w:rFonts w:asciiTheme="majorBidi" w:hAnsiTheme="majorBidi" w:cstheme="majorBidi"/>
          <w:szCs w:val="21"/>
        </w:rPr>
      </w:pPr>
      <w:r>
        <w:rPr>
          <w:rStyle w:val="af2"/>
        </w:rPr>
        <w:footnoteRef/>
      </w:r>
      <w:r>
        <w:t xml:space="preserve"> </w:t>
      </w:r>
      <w:r>
        <w:rPr>
          <w:rFonts w:asciiTheme="majorBidi" w:hAnsiTheme="majorBidi" w:cstheme="majorBidi"/>
          <w:szCs w:val="21"/>
        </w:rPr>
        <w:t>Customer Relationship Management</w:t>
      </w:r>
      <w:r>
        <w:rPr>
          <w:rFonts w:asciiTheme="majorBidi" w:hAnsiTheme="majorBidi" w:cstheme="majorBidi"/>
          <w:szCs w:val="21"/>
        </w:rPr>
        <w:t>，</w:t>
      </w:r>
      <w:r>
        <w:rPr>
          <w:rFonts w:asciiTheme="majorBidi" w:hAnsiTheme="majorBidi" w:cstheme="majorBidi" w:hint="eastAsia"/>
          <w:szCs w:val="21"/>
        </w:rPr>
        <w:t>通常译为</w:t>
      </w:r>
      <w:r>
        <w:rPr>
          <w:rFonts w:asciiTheme="majorBidi" w:hAnsiTheme="majorBidi" w:cstheme="majorBidi"/>
          <w:szCs w:val="21"/>
        </w:rPr>
        <w:t>客户关系管理</w:t>
      </w:r>
      <w:r>
        <w:rPr>
          <w:rFonts w:asciiTheme="majorBidi" w:hAnsiTheme="majorBidi" w:cstheme="majorBidi" w:hint="eastAsia"/>
          <w:szCs w:val="21"/>
        </w:rPr>
        <w:t>。</w:t>
      </w:r>
    </w:p>
  </w:footnote>
  <w:footnote w:id="3">
    <w:p w14:paraId="7BC8A440" w14:textId="77777777" w:rsidR="004B6C7F" w:rsidRDefault="00000000">
      <w:pPr>
        <w:pStyle w:val="ab"/>
        <w:rPr>
          <w:rFonts w:asciiTheme="majorBidi" w:hAnsiTheme="majorBidi" w:cstheme="majorBidi"/>
          <w:szCs w:val="21"/>
        </w:rPr>
      </w:pPr>
      <w:r>
        <w:rPr>
          <w:rStyle w:val="af2"/>
        </w:rPr>
        <w:footnoteRef/>
      </w:r>
      <w:r>
        <w:t xml:space="preserve"> </w:t>
      </w:r>
      <w:r>
        <w:rPr>
          <w:rFonts w:asciiTheme="majorBidi" w:hAnsiTheme="majorBidi" w:cstheme="majorBidi"/>
          <w:szCs w:val="21"/>
        </w:rPr>
        <w:t>Supplier relationship management</w:t>
      </w:r>
      <w:r>
        <w:rPr>
          <w:rFonts w:asciiTheme="majorBidi" w:hAnsiTheme="majorBidi" w:cstheme="majorBidi"/>
          <w:szCs w:val="21"/>
        </w:rPr>
        <w:t>，</w:t>
      </w:r>
      <w:r>
        <w:rPr>
          <w:rFonts w:asciiTheme="majorBidi" w:hAnsiTheme="majorBidi" w:cstheme="majorBidi" w:hint="eastAsia"/>
          <w:szCs w:val="21"/>
        </w:rPr>
        <w:t>通常译为</w:t>
      </w:r>
      <w:r>
        <w:rPr>
          <w:rFonts w:asciiTheme="majorBidi" w:hAnsiTheme="majorBidi" w:cstheme="majorBidi"/>
          <w:szCs w:val="21"/>
        </w:rPr>
        <w:t>供应商关系管理</w:t>
      </w:r>
      <w:r>
        <w:rPr>
          <w:rFonts w:asciiTheme="majorBidi" w:hAnsiTheme="majorBidi" w:cstheme="majorBidi" w:hint="eastAsia"/>
          <w:szCs w:val="21"/>
        </w:rPr>
        <w:t>。</w:t>
      </w:r>
    </w:p>
  </w:footnote>
  <w:footnote w:id="4">
    <w:p w14:paraId="5B522C5A" w14:textId="77777777" w:rsidR="004B6C7F" w:rsidRDefault="00000000">
      <w:pPr>
        <w:pStyle w:val="ab"/>
      </w:pPr>
      <w:r>
        <w:rPr>
          <w:rStyle w:val="af2"/>
        </w:rPr>
        <w:footnoteRef/>
      </w:r>
      <w:r>
        <w:t xml:space="preserve"> </w:t>
      </w:r>
      <w:r>
        <w:rPr>
          <w:rFonts w:asciiTheme="majorBidi" w:hAnsiTheme="majorBidi" w:cstheme="majorBidi"/>
          <w:szCs w:val="21"/>
        </w:rPr>
        <w:t>Enterprise Resource Planning</w:t>
      </w:r>
      <w:r>
        <w:rPr>
          <w:rFonts w:asciiTheme="majorBidi" w:hAnsiTheme="majorBidi" w:cstheme="majorBidi"/>
          <w:szCs w:val="21"/>
        </w:rPr>
        <w:t>，</w:t>
      </w:r>
      <w:r>
        <w:rPr>
          <w:rFonts w:asciiTheme="majorBidi" w:hAnsiTheme="majorBidi" w:cstheme="majorBidi" w:hint="eastAsia"/>
          <w:szCs w:val="21"/>
        </w:rPr>
        <w:t>通常译为</w:t>
      </w:r>
      <w:r>
        <w:rPr>
          <w:rFonts w:asciiTheme="majorBidi" w:hAnsiTheme="majorBidi" w:cstheme="majorBidi"/>
          <w:szCs w:val="21"/>
        </w:rPr>
        <w:t>企业资源计划</w:t>
      </w:r>
      <w:r>
        <w:rPr>
          <w:rFonts w:asciiTheme="majorBidi" w:hAnsiTheme="majorBidi" w:cstheme="majorBidi" w:hint="eastAsia"/>
          <w:szCs w:val="21"/>
        </w:rPr>
        <w:t>。</w:t>
      </w:r>
    </w:p>
  </w:footnote>
  <w:footnote w:id="5">
    <w:p w14:paraId="7A7C5155" w14:textId="77777777" w:rsidR="004B6C7F" w:rsidRDefault="00000000">
      <w:pPr>
        <w:pStyle w:val="ab"/>
      </w:pPr>
      <w:r>
        <w:rPr>
          <w:rStyle w:val="af2"/>
        </w:rPr>
        <w:footnoteRef/>
      </w:r>
      <w:r>
        <w:t xml:space="preserve"> </w:t>
      </w:r>
      <w:r>
        <w:rPr>
          <w:rFonts w:asciiTheme="majorBidi" w:hAnsiTheme="majorBidi" w:cstheme="majorBidi"/>
          <w:bCs/>
        </w:rPr>
        <w:t>Software as a Service</w:t>
      </w:r>
      <w:r>
        <w:rPr>
          <w:rFonts w:asciiTheme="majorBidi" w:hAnsiTheme="majorBidi" w:cstheme="majorBidi"/>
          <w:bCs/>
        </w:rPr>
        <w:t>，</w:t>
      </w:r>
      <w:r>
        <w:rPr>
          <w:rFonts w:asciiTheme="majorBidi" w:hAnsiTheme="majorBidi" w:cstheme="majorBidi" w:hint="eastAsia"/>
          <w:bCs/>
        </w:rPr>
        <w:t>通常译为</w:t>
      </w:r>
      <w:r>
        <w:rPr>
          <w:rFonts w:asciiTheme="majorBidi" w:hAnsiTheme="majorBidi" w:cstheme="majorBidi"/>
          <w:bCs/>
        </w:rPr>
        <w:t>软件即服务</w:t>
      </w:r>
      <w:r>
        <w:rPr>
          <w:rFonts w:asciiTheme="majorBidi" w:hAnsiTheme="majorBidi" w:cstheme="majorBidi" w:hint="eastAsia"/>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155C"/>
    <w:multiLevelType w:val="multilevel"/>
    <w:tmpl w:val="1266155C"/>
    <w:lvl w:ilvl="0">
      <w:start w:val="1"/>
      <w:numFmt w:val="bullet"/>
      <w:lvlText w:val=""/>
      <w:lvlJc w:val="left"/>
      <w:pPr>
        <w:ind w:left="800" w:hanging="440"/>
      </w:pPr>
      <w:rPr>
        <w:rFonts w:ascii="Wingdings" w:hAnsi="Wingdings"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1" w15:restartNumberingAfterBreak="0">
    <w:nsid w:val="33917088"/>
    <w:multiLevelType w:val="multilevel"/>
    <w:tmpl w:val="33917088"/>
    <w:lvl w:ilvl="0">
      <w:start w:val="1"/>
      <w:numFmt w:val="decimal"/>
      <w:lvlText w:val="%1."/>
      <w:lvlJc w:val="left"/>
      <w:pPr>
        <w:ind w:left="36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4869336E"/>
    <w:multiLevelType w:val="multilevel"/>
    <w:tmpl w:val="4869336E"/>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0B251B3"/>
    <w:multiLevelType w:val="multilevel"/>
    <w:tmpl w:val="60B251B3"/>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1BF7718"/>
    <w:multiLevelType w:val="multilevel"/>
    <w:tmpl w:val="71BF771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12853587">
    <w:abstractNumId w:val="3"/>
  </w:num>
  <w:num w:numId="2" w16cid:durableId="1489052249">
    <w:abstractNumId w:val="4"/>
  </w:num>
  <w:num w:numId="3" w16cid:durableId="3090405">
    <w:abstractNumId w:val="2"/>
  </w:num>
  <w:num w:numId="4" w16cid:durableId="1864124186">
    <w:abstractNumId w:val="1"/>
  </w:num>
  <w:num w:numId="5" w16cid:durableId="134042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97"/>
    <w:rsid w:val="00007EC1"/>
    <w:rsid w:val="000120CE"/>
    <w:rsid w:val="00065D4C"/>
    <w:rsid w:val="00071515"/>
    <w:rsid w:val="00071577"/>
    <w:rsid w:val="0008321D"/>
    <w:rsid w:val="000A5AE5"/>
    <w:rsid w:val="001072A5"/>
    <w:rsid w:val="0010785A"/>
    <w:rsid w:val="001131C0"/>
    <w:rsid w:val="00132B1B"/>
    <w:rsid w:val="00190329"/>
    <w:rsid w:val="00197722"/>
    <w:rsid w:val="001B4954"/>
    <w:rsid w:val="001C0510"/>
    <w:rsid w:val="001C58E7"/>
    <w:rsid w:val="00212290"/>
    <w:rsid w:val="00223736"/>
    <w:rsid w:val="00255397"/>
    <w:rsid w:val="002604B2"/>
    <w:rsid w:val="002B1B9C"/>
    <w:rsid w:val="002C6491"/>
    <w:rsid w:val="003032FC"/>
    <w:rsid w:val="003122DE"/>
    <w:rsid w:val="00316A05"/>
    <w:rsid w:val="003C369D"/>
    <w:rsid w:val="003F5191"/>
    <w:rsid w:val="003F5AE5"/>
    <w:rsid w:val="00422F9A"/>
    <w:rsid w:val="0047460A"/>
    <w:rsid w:val="004844A7"/>
    <w:rsid w:val="004946EC"/>
    <w:rsid w:val="004A6343"/>
    <w:rsid w:val="004B3438"/>
    <w:rsid w:val="004B6C7F"/>
    <w:rsid w:val="004D5974"/>
    <w:rsid w:val="004D6A2B"/>
    <w:rsid w:val="004E3E4A"/>
    <w:rsid w:val="004F0B6E"/>
    <w:rsid w:val="004F17B1"/>
    <w:rsid w:val="00511098"/>
    <w:rsid w:val="0054639D"/>
    <w:rsid w:val="00546D8B"/>
    <w:rsid w:val="0056105A"/>
    <w:rsid w:val="0057199C"/>
    <w:rsid w:val="005843AC"/>
    <w:rsid w:val="00597198"/>
    <w:rsid w:val="005D7C00"/>
    <w:rsid w:val="005E1003"/>
    <w:rsid w:val="0068230A"/>
    <w:rsid w:val="00692FC6"/>
    <w:rsid w:val="007262C3"/>
    <w:rsid w:val="007940DE"/>
    <w:rsid w:val="007F583F"/>
    <w:rsid w:val="00886DF2"/>
    <w:rsid w:val="008878CE"/>
    <w:rsid w:val="008A074C"/>
    <w:rsid w:val="009017DB"/>
    <w:rsid w:val="009020CC"/>
    <w:rsid w:val="00924817"/>
    <w:rsid w:val="009252A0"/>
    <w:rsid w:val="00997918"/>
    <w:rsid w:val="009A5FB8"/>
    <w:rsid w:val="009C4D32"/>
    <w:rsid w:val="00A01C2A"/>
    <w:rsid w:val="00A0295F"/>
    <w:rsid w:val="00A12317"/>
    <w:rsid w:val="00A24DF0"/>
    <w:rsid w:val="00A2552B"/>
    <w:rsid w:val="00A31B51"/>
    <w:rsid w:val="00A40E4E"/>
    <w:rsid w:val="00A45ED0"/>
    <w:rsid w:val="00A464D9"/>
    <w:rsid w:val="00A64025"/>
    <w:rsid w:val="00A75743"/>
    <w:rsid w:val="00A81E59"/>
    <w:rsid w:val="00AA0FED"/>
    <w:rsid w:val="00AD5B3C"/>
    <w:rsid w:val="00B22D4C"/>
    <w:rsid w:val="00B267C0"/>
    <w:rsid w:val="00B2762F"/>
    <w:rsid w:val="00B358CD"/>
    <w:rsid w:val="00B65173"/>
    <w:rsid w:val="00BD59BC"/>
    <w:rsid w:val="00BE1120"/>
    <w:rsid w:val="00C1720D"/>
    <w:rsid w:val="00C249FD"/>
    <w:rsid w:val="00C31C80"/>
    <w:rsid w:val="00C637EA"/>
    <w:rsid w:val="00C71A9E"/>
    <w:rsid w:val="00C8454A"/>
    <w:rsid w:val="00CA4E9F"/>
    <w:rsid w:val="00CC2F30"/>
    <w:rsid w:val="00CC3AFF"/>
    <w:rsid w:val="00CC3EDF"/>
    <w:rsid w:val="00CE5219"/>
    <w:rsid w:val="00CF5067"/>
    <w:rsid w:val="00D102E1"/>
    <w:rsid w:val="00D33AC7"/>
    <w:rsid w:val="00D35B41"/>
    <w:rsid w:val="00D40B60"/>
    <w:rsid w:val="00D4208D"/>
    <w:rsid w:val="00D51CF0"/>
    <w:rsid w:val="00DD1559"/>
    <w:rsid w:val="00DE76DC"/>
    <w:rsid w:val="00DF7E2A"/>
    <w:rsid w:val="00E267C3"/>
    <w:rsid w:val="00E30C23"/>
    <w:rsid w:val="00E324AF"/>
    <w:rsid w:val="00E56B61"/>
    <w:rsid w:val="00E675EF"/>
    <w:rsid w:val="00E87887"/>
    <w:rsid w:val="00E97549"/>
    <w:rsid w:val="00EC3489"/>
    <w:rsid w:val="00EC671C"/>
    <w:rsid w:val="00F86475"/>
    <w:rsid w:val="00F91127"/>
    <w:rsid w:val="00F942A4"/>
    <w:rsid w:val="00F95048"/>
    <w:rsid w:val="00FC07E5"/>
    <w:rsid w:val="00FD3F63"/>
    <w:rsid w:val="01661D6C"/>
    <w:rsid w:val="16B4748D"/>
    <w:rsid w:val="24E53415"/>
    <w:rsid w:val="3A362570"/>
    <w:rsid w:val="56A63783"/>
    <w:rsid w:val="609B470C"/>
    <w:rsid w:val="63B3128D"/>
    <w:rsid w:val="7CAD0B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36BBD"/>
  <w15:docId w15:val="{64AA1FC2-9D7E-4822-9012-ECD35F73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footnote text"/>
    <w:basedOn w:val="a"/>
    <w:link w:val="ac"/>
    <w:uiPriority w:val="99"/>
    <w:semiHidden/>
    <w:unhideWhenUsed/>
    <w:qFormat/>
    <w:pPr>
      <w:snapToGrid w:val="0"/>
      <w:jc w:val="left"/>
    </w:pPr>
    <w:rPr>
      <w:sz w:val="18"/>
      <w:szCs w:val="18"/>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qFormat/>
    <w:rPr>
      <w:rFonts w:cstheme="majorBidi"/>
      <w:color w:val="2E74B5" w:themeColor="accent1" w:themeShade="BF"/>
      <w:sz w:val="28"/>
      <w:szCs w:val="28"/>
    </w:rPr>
  </w:style>
  <w:style w:type="character" w:customStyle="1" w:styleId="50">
    <w:name w:val="标题 5 字符"/>
    <w:basedOn w:val="a0"/>
    <w:link w:val="5"/>
    <w:uiPriority w:val="9"/>
    <w:semiHidden/>
    <w:qFormat/>
    <w:rPr>
      <w:rFonts w:cstheme="majorBidi"/>
      <w:color w:val="2E74B5" w:themeColor="accent1" w:themeShade="BF"/>
      <w:sz w:val="24"/>
      <w:szCs w:val="24"/>
    </w:rPr>
  </w:style>
  <w:style w:type="character" w:customStyle="1" w:styleId="60">
    <w:name w:val="标题 6 字符"/>
    <w:basedOn w:val="a0"/>
    <w:link w:val="6"/>
    <w:uiPriority w:val="9"/>
    <w:semiHidden/>
    <w:qFormat/>
    <w:rPr>
      <w:rFonts w:cstheme="majorBidi"/>
      <w:b/>
      <w:bCs/>
      <w:color w:val="2E74B5"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 字符"/>
    <w:basedOn w:val="a0"/>
    <w:link w:val="af3"/>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1">
    <w:name w:val="明显强调1"/>
    <w:basedOn w:val="a0"/>
    <w:uiPriority w:val="21"/>
    <w:qFormat/>
    <w:rPr>
      <w:i/>
      <w:iCs/>
      <w:color w:val="2E74B5" w:themeColor="accent1" w:themeShade="BF"/>
    </w:rPr>
  </w:style>
  <w:style w:type="paragraph" w:styleId="af6">
    <w:name w:val="Intense Quote"/>
    <w:basedOn w:val="a"/>
    <w:next w:val="a"/>
    <w:link w:val="af7"/>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7">
    <w:name w:val="明显引用 字符"/>
    <w:basedOn w:val="a0"/>
    <w:link w:val="af6"/>
    <w:uiPriority w:val="30"/>
    <w:qFormat/>
    <w:rPr>
      <w:i/>
      <w:iCs/>
      <w:color w:val="2E74B5" w:themeColor="accent1" w:themeShade="BF"/>
    </w:rPr>
  </w:style>
  <w:style w:type="character" w:customStyle="1" w:styleId="12">
    <w:name w:val="明显参考1"/>
    <w:basedOn w:val="a0"/>
    <w:uiPriority w:val="32"/>
    <w:qFormat/>
    <w:rPr>
      <w:b/>
      <w:bCs/>
      <w:smallCaps/>
      <w:color w:val="2E74B5"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c">
    <w:name w:val="脚注文本 字符"/>
    <w:basedOn w:val="a0"/>
    <w:link w:val="ab"/>
    <w:uiPriority w:val="99"/>
    <w:semiHidden/>
    <w:qFormat/>
    <w:rPr>
      <w:sz w:val="18"/>
      <w:szCs w:val="18"/>
    </w:rPr>
  </w:style>
  <w:style w:type="paragraph" w:customStyle="1" w:styleId="13">
    <w:name w:val="修订1"/>
    <w:hidden/>
    <w:uiPriority w:val="99"/>
    <w:semiHidden/>
    <w:qFormat/>
    <w:rPr>
      <w:kern w:val="2"/>
      <w:sz w:val="21"/>
      <w:szCs w:val="22"/>
    </w:rPr>
  </w:style>
  <w:style w:type="character" w:customStyle="1" w:styleId="a4">
    <w:name w:val="批注文字 字符"/>
    <w:basedOn w:val="a0"/>
    <w:link w:val="a3"/>
    <w:uiPriority w:val="99"/>
    <w:qFormat/>
  </w:style>
  <w:style w:type="character" w:customStyle="1" w:styleId="af0">
    <w:name w:val="批注主题 字符"/>
    <w:basedOn w:val="a4"/>
    <w:link w:val="af"/>
    <w:uiPriority w:val="99"/>
    <w:semiHidden/>
    <w:qFormat/>
    <w:rPr>
      <w:b/>
      <w:bCs/>
    </w:rPr>
  </w:style>
  <w:style w:type="paragraph" w:customStyle="1" w:styleId="21">
    <w:name w:val="修订2"/>
    <w:hidden/>
    <w:uiPriority w:val="99"/>
    <w:unhideWhenUsed/>
    <w:qFormat/>
    <w:rPr>
      <w:kern w:val="2"/>
      <w:sz w:val="21"/>
      <w:szCs w:val="22"/>
    </w:rPr>
  </w:style>
  <w:style w:type="paragraph" w:styleId="af8">
    <w:name w:val="Revision"/>
    <w:hidden/>
    <w:uiPriority w:val="99"/>
    <w:unhideWhenUsed/>
    <w:rsid w:val="004E3E4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53A1-CEAF-45F7-B4AE-E6562E52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GW国枫</dc:creator>
  <cp:lastModifiedBy>GW Data</cp:lastModifiedBy>
  <cp:revision>12</cp:revision>
  <dcterms:created xsi:type="dcterms:W3CDTF">2025-12-30T09:15:00Z</dcterms:created>
  <dcterms:modified xsi:type="dcterms:W3CDTF">2026-05-02T05:36:00Z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eyJoZGlkIjoiN2YzNjBkOTgyNWQ1YTMxYzM3MzMwNWFiODNmOWIzYWMiLCJ1c2VySWQiOiIyMjg2MjU4MzUifQ==</vt:lpwstr>
  </property>
  <property fmtid="{D5CDD505-2E9C-101B-9397-08002B2CF9AE}" pid="3" name="KSOProductBuildVer">
    <vt:lpwstr>2052-12.1.0.23542</vt:lpwstr>
  </property>
  <property fmtid="{D5CDD505-2E9C-101B-9397-08002B2CF9AE}" pid="4" name="ICV">
    <vt:lpwstr>54C8CD1F41FB4BDA861B3FCFDA1A43FC_13</vt:lpwstr>
  </property>
</Properties>
</file>