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4C5F9">
      <w:pPr>
        <w:spacing w:before="156" w:beforeLines="50" w:after="156" w:afterLines="50"/>
        <w:ind w:firstLine="0" w:firstLineChars="0"/>
        <w:jc w:val="center"/>
        <w:rPr>
          <w:rFonts w:hint="default" w:ascii="Times New Roman" w:hAnsi="Times New Roman" w:eastAsia="仿宋" w:cs="Times New Roman"/>
          <w:sz w:val="36"/>
          <w:szCs w:val="28"/>
        </w:rPr>
      </w:pPr>
      <w:r>
        <w:rPr>
          <w:rFonts w:hint="default" w:ascii="Times New Roman" w:hAnsi="Times New Roman" w:eastAsia="仿宋" w:cs="Times New Roman"/>
          <w:sz w:val="36"/>
          <w:szCs w:val="28"/>
        </w:rPr>
        <w:t>船舶建造险在海洋工程装备建造领域的适用问题</w:t>
      </w:r>
    </w:p>
    <w:p w14:paraId="0BC2E742">
      <w:pPr>
        <w:pStyle w:val="19"/>
        <w:numPr>
          <w:ilvl w:val="0"/>
          <w:numId w:val="1"/>
        </w:numPr>
        <w:spacing w:before="156" w:beforeLines="50" w:after="156" w:afterLines="50"/>
        <w:ind w:firstLineChars="0"/>
        <w:jc w:val="center"/>
        <w:rPr>
          <w:rFonts w:hint="default" w:ascii="Times New Roman" w:hAnsi="Times New Roman" w:eastAsia="仿宋" w:cs="Times New Roman"/>
          <w:sz w:val="36"/>
          <w:szCs w:val="28"/>
        </w:rPr>
      </w:pPr>
      <w:r>
        <w:rPr>
          <w:rFonts w:hint="default" w:ascii="Times New Roman" w:hAnsi="Times New Roman" w:eastAsia="仿宋" w:cs="Times New Roman"/>
          <w:sz w:val="36"/>
          <w:szCs w:val="28"/>
        </w:rPr>
        <w:t>一起海上保险纠纷案引发的思考</w:t>
      </w:r>
    </w:p>
    <w:p w14:paraId="395750B9">
      <w:pPr>
        <w:spacing w:before="156" w:beforeLines="50" w:after="156" w:afterLines="50"/>
        <w:ind w:left="0" w:leftChars="0" w:firstLine="0" w:firstLineChars="0"/>
        <w:jc w:val="center"/>
        <w:outlineLvl w:val="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所在单位：上海星瀚律师事务所</w:t>
      </w:r>
    </w:p>
    <w:p w14:paraId="4619CC1C">
      <w:pPr>
        <w:spacing w:before="156" w:beforeLines="50" w:after="156" w:afterLines="50"/>
        <w:ind w:left="0" w:leftChars="0" w:firstLine="0" w:firstLineChars="0"/>
        <w:jc w:val="center"/>
        <w:outlineLvl w:val="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作者：卢柏宜</w:t>
      </w:r>
    </w:p>
    <w:p w14:paraId="30E8D8B9">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近年来，随着我国海洋强国战略的深入推进，海洋工程装备产业进入快速发展阶段。深海养殖、海上风电、油气开发等新型海洋场景不断涌现，大量非传统船舶的海洋工程装备进入建造与运营领域。与传统船舶相比，此类装备常不具备自航能力，建造完成后需经专业运输、海上安装等环节方能投入使用。而海洋工程装备建造与传统船舶建造整体流程最为类似，故往往以船舶建造险承保海洋工程装备建造。但是，由于非自航类海工装备在结构和风险属性上与船舶存在显著差异，传统船舶建造险能否完全适配海工装备的建造与交付，实务中不乏争议。</w:t>
      </w:r>
    </w:p>
    <w:p w14:paraId="65201045">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近期，我们办理的一起因深海养殖装备在定位安装阶段发生重大损坏而引发的海上保险纠纷，再次凸显了船舶建造险在海洋工程装备领域中的适用疑点与难点。本文拟围绕该起案例，通过梳理案情与争议焦点、分析案涉保险责任区间与承保区域的冲突，探讨传统船舶建造险在新型海洋工程装备时的适用问题，进而提出相关实务建议。</w:t>
      </w:r>
    </w:p>
    <w:p w14:paraId="70207120">
      <w:pPr>
        <w:spacing w:before="156" w:beforeLines="50" w:after="156" w:afterLines="50"/>
        <w:ind w:firstLine="560"/>
        <w:outlineLvl w:val="0"/>
        <w:rPr>
          <w:rFonts w:hint="default" w:ascii="Times New Roman" w:hAnsi="Times New Roman" w:eastAsia="仿宋" w:cs="Times New Roman"/>
          <w:sz w:val="28"/>
        </w:rPr>
      </w:pPr>
      <w:r>
        <w:rPr>
          <w:rFonts w:hint="default" w:ascii="Times New Roman" w:hAnsi="Times New Roman" w:eastAsia="仿宋" w:cs="Times New Roman"/>
          <w:sz w:val="28"/>
        </w:rPr>
        <w:t>一、案情背景</w:t>
      </w:r>
    </w:p>
    <w:p w14:paraId="03E7EE32">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A公司是一家船舶建造企业，B公司与C公司为两家保险公司。2022年1月1日，A公司与案外人D公司签订建造合同，约定由A公司为D公司建造一座单柱半潜式深海渔场（以下简称“渔场”）。该渔场为圆形网箱结构的深海养殖设备，自身无动力，建造完成后需由半潜船载运至预定海域定位安装。建造合同约定，渔场应在D公司指定海域由A公司安装完成后交付。渔场交付前所有权归A公司，A公司同时承担渔场及其设备损坏的风险。</w:t>
      </w:r>
    </w:p>
    <w:p w14:paraId="58DEE5C4">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2022年3月1日，A公司就渔场建造向B公司投保“船舶建造险”。保险合同约定，保险标的为“在建造人船厂、船坞范围内建造的船壳和机器等”，建造地点为A公司船厂，保险期间为“保险船舶建造开工之日或上船台之日直至建成交付订货人或船舶所有人为止”。关于保险责任范围，保险合同约定“本公司对保险船舶的下列损失、责任和费用，负责赔偿：1.保险船舶在船厂建造、试航和交船过程中，包括建造该船所需的在保险价值内的一切材料、机械和设备在船厂范围内装卸、运输、保管、安装以及船舶下水、进出坞过程中，由于下列原因所造成的损失和费用......”关于承保区域，保险合同约定：“建造期间限于船厂范围内，试航、交船期间的单程自航距离限于500海里。”</w:t>
      </w:r>
    </w:p>
    <w:p w14:paraId="61FE3E7A">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其后，针对渔场建造完成后前往预定海域定位安装的海上运输，A公司向C公司投保“货物运输保险”，保险期间自将渔场从船厂船台转移到半潜船上开始，至运输到预定海域卸下时系固渔场的最后一根缆绳/缆索脱离半潜船为止。针对渔场在预定海域的定位安装作业，A公司向C公司投保“安装工程一切险”，保险期间为自渔场被卸下离开半潜船，并脱解最后一根带缆完成时开始，至渔场在预定海域安装完成为止。</w:t>
      </w:r>
    </w:p>
    <w:p w14:paraId="00E4675A">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渔场于2023年3月初在A公司船厂建造完成，并取得船级社签发的相关证书。3月26日，渔场由半潜船“海洋”号载运至预定海域进行定位安装。4月25日，装载渔场的“海洋”号抵达预定海域，开始安装作业。安装期间，渔场因不明原因出现大面积损坏。后A公司先后致函B公司和C公司，认为渔场修复费用远大于投保价值，已构成推定全损，据此请求全额保险赔偿人民币1.2亿元。B公司与C公司均拒绝赔付。2023年8月，因渔场无法按照约定交付，A公司与案外人D公司协商一致解除建造合同。</w:t>
      </w:r>
    </w:p>
    <w:p w14:paraId="4439C945">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2023年10月，针对渔场在定位安装过程中发生的损坏，A公司以B公司为被告向法院提起保险索赔诉讼。A公司认为：渔场系因自然灾害与意外事故受损，属于B公司承保的船舶建造险的保险责任，故请求法院判令B公司向A公司支付保险赔偿金。同时，A公司又以C公司为被告，请求法院判令C公司对其承担安装工程险项下的保险赔付义务，后法院将两案合并审理。</w:t>
      </w:r>
    </w:p>
    <w:p w14:paraId="0F8167C1">
      <w:pPr>
        <w:spacing w:before="156" w:beforeLines="50" w:after="156" w:afterLines="50"/>
        <w:ind w:firstLine="560"/>
        <w:outlineLvl w:val="0"/>
        <w:rPr>
          <w:rFonts w:hint="default" w:ascii="Times New Roman" w:hAnsi="Times New Roman" w:eastAsia="仿宋" w:cs="Times New Roman"/>
          <w:sz w:val="28"/>
        </w:rPr>
      </w:pPr>
      <w:r>
        <w:rPr>
          <w:rFonts w:hint="default" w:ascii="Times New Roman" w:hAnsi="Times New Roman" w:eastAsia="仿宋" w:cs="Times New Roman"/>
          <w:sz w:val="28"/>
        </w:rPr>
        <w:t>二、核心争议焦点</w:t>
      </w:r>
    </w:p>
    <w:p w14:paraId="040E5EA7">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本案系重大海洋生物资源类工程装备出险引发的海上保险合同纠纷，涉案金额巨大，案情与法律关系错综复杂，所涉及的问题与争议焦点包括保险责任界定、事故原因查明、损失金额计算、重复保险及分摊比例认定等。其中，与本文主题相关的争议焦点主要是案涉船舶建造险保险责任的界定问题。</w:t>
      </w:r>
    </w:p>
    <w:p w14:paraId="0CD3D399">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具体而言，案涉船舶建造险合同约定的保险期间为“保险船舶建造开工之日或上船台之日直至建成交付订货人或船舶所有人为止”。如认为此处的“交付”与渔场建造合同中的交付含义一致，那么按照此条约定，案涉船舶建造险将覆盖渔场从建造开始直至在预定海域完成定位安装的整个期间，并不限于“建造期间”，故似乎可以认为案涉事故发生于船舶建造险合同约定的保险期，在不考虑事故原因与除外责任的情况下，案涉事故属于船舶建造险的可予赔付的范围。</w:t>
      </w:r>
    </w:p>
    <w:p w14:paraId="415673A0">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但是，案涉船舶建造险合同在“保险责任”处约定的赔偿范围却只包括“保险船舶在船厂建造、试航和交船过程中，包括建造该船所需的在保险价值内的一切材料、机械和设备在船厂范围内......的损失和费用”。并且，关于“承保区域”，保险合同专门约定：“建造期间限于船厂范围内，试航、交船期间的单程自航距离限于500海里。”案涉渔场在预定海域的定位安装，已超出船厂范围，且定位安装本身并非试航，亦非交船期间单程自航（渔场自身无动力）。因此，根据“保险责任”与“承保区域”的条款约定，案涉渔场在预定海域定位安装过程中发生事故，在地理空间上已超出船舶建造险的承保范围，在不考虑事故原因与除外责任的情况下，案涉事故不属于船舶建造险的赔付责任范围。</w:t>
      </w:r>
    </w:p>
    <w:p w14:paraId="79637552">
      <w:pPr>
        <w:spacing w:before="156" w:beforeLines="50" w:after="156" w:afterLines="50"/>
        <w:ind w:firstLine="480"/>
        <w:outlineLvl w:val="0"/>
        <w:rPr>
          <w:rFonts w:hint="default" w:ascii="Times New Roman" w:hAnsi="Times New Roman" w:eastAsia="仿宋" w:cs="Times New Roman"/>
        </w:rPr>
      </w:pPr>
      <w:r>
        <w:rPr>
          <w:rFonts w:hint="default" w:ascii="Times New Roman" w:hAnsi="Times New Roman" w:eastAsia="仿宋" w:cs="Times New Roman"/>
        </w:rPr>
        <w:t>可见，若严格适用案涉船舶建造险的条款，本案在保险责任区间的界定问题上将会得出不同的法律结论，出现了“时空错位”的现象。A公司根据上述“保险期间”的约定，主张B公司承保的船舶建造险涵盖渔场定位安装阶段的风险；而B公司根据上述“保险责任”与“承保区域”的相关约定，主张其承保的船舶建造险并不延伸至渔场在预定海域的定位安装阶段。双方的主张与观点均有一定合同依据，巨大的法律争议由此引发。</w:t>
      </w:r>
    </w:p>
    <w:p w14:paraId="2DCA35E9">
      <w:pPr>
        <w:spacing w:before="156" w:beforeLines="50" w:after="156" w:afterLines="50"/>
        <w:ind w:firstLine="560"/>
        <w:outlineLvl w:val="0"/>
        <w:rPr>
          <w:rFonts w:hint="default" w:ascii="Times New Roman" w:hAnsi="Times New Roman" w:eastAsia="仿宋" w:cs="Times New Roman"/>
          <w:sz w:val="28"/>
        </w:rPr>
      </w:pPr>
      <w:r>
        <w:rPr>
          <w:rFonts w:hint="default" w:ascii="Times New Roman" w:hAnsi="Times New Roman" w:eastAsia="仿宋" w:cs="Times New Roman"/>
          <w:sz w:val="28"/>
        </w:rPr>
        <w:t>三、案例评析</w:t>
      </w:r>
    </w:p>
    <w:p w14:paraId="53575A8E">
      <w:pPr>
        <w:ind w:firstLine="480"/>
        <w:rPr>
          <w:rFonts w:hint="default" w:ascii="Times New Roman" w:hAnsi="Times New Roman" w:eastAsia="仿宋" w:cs="Times New Roman"/>
        </w:rPr>
      </w:pPr>
      <w:r>
        <w:rPr>
          <w:rFonts w:hint="default" w:ascii="Times New Roman" w:hAnsi="Times New Roman" w:eastAsia="仿宋" w:cs="Times New Roman"/>
        </w:rPr>
        <w:t>本案首要争议在于案涉船舶建造险的保险责任区间界定问题，其主要矛盾体现在保险期间与承保区域条款的“时空错位”现象，其背后实则反映出船舶建造险在海洋工程装备领域的适配性问题。</w:t>
      </w:r>
    </w:p>
    <w:p w14:paraId="24C6755C">
      <w:pPr>
        <w:ind w:firstLine="480"/>
        <w:rPr>
          <w:rFonts w:hint="default" w:ascii="Times New Roman" w:hAnsi="Times New Roman" w:eastAsia="仿宋" w:cs="Times New Roman"/>
        </w:rPr>
      </w:pPr>
      <w:r>
        <w:rPr>
          <w:rFonts w:hint="default" w:ascii="Times New Roman" w:hAnsi="Times New Roman" w:eastAsia="仿宋" w:cs="Times New Roman"/>
        </w:rPr>
        <w:t>从解决路径上看，化解上述问题的关键在于合同条款的解释，即如何综合运用文义、体系、目的和习惯解释的方法解读案涉保险期间与承保区域条款，使得解释结论更符合缔约方的真实意思表示。需要指出的是，案涉船舶建造险作为商事保险，保险人与被保险人双方均具有相当的商事能力，在合同条款与条件的磋商水平方面并无本质差异，故还应着重从商业目的和商业合理性的角度出发，探寻当事人达成案涉保险条款时的真实合意。对此，我们分析认为：</w:t>
      </w:r>
    </w:p>
    <w:p w14:paraId="4F5C2B5B">
      <w:pPr>
        <w:ind w:firstLine="482"/>
        <w:rPr>
          <w:rFonts w:hint="default" w:ascii="Times New Roman" w:hAnsi="Times New Roman" w:eastAsia="仿宋" w:cs="Times New Roman"/>
        </w:rPr>
      </w:pPr>
      <w:r>
        <w:rPr>
          <w:rFonts w:hint="default" w:ascii="Times New Roman" w:hAnsi="Times New Roman" w:eastAsia="仿宋" w:cs="Times New Roman"/>
          <w:b/>
        </w:rPr>
        <w:t>1. 从文义解释的角度</w:t>
      </w:r>
      <w:r>
        <w:rPr>
          <w:rFonts w:hint="default" w:ascii="Times New Roman" w:hAnsi="Times New Roman" w:eastAsia="仿宋" w:cs="Times New Roman"/>
        </w:rPr>
        <w:t>。案涉船建险条款关于保险期间有两处直接和间接约定，一是“保险船舶建造开工之日或上船台之日直至建成交付订货人或船舶所有人为止”，二是“保险船舶在船厂建造、试航和交船过程中”。如保险标的为传统船舶，由于传统船舶在建造完成后通常由船厂在场内码头直接向船东交付，故该两条约定的时间范围具有一致性。但本案特殊性在于，作为保险标的的渔场不具有航行能力，无法如船舶一样通过自航实现“试航”与“交船”的过程，实际上也就不存在船建险条款所规定的传统船舶建造中的“试航、交船期间”，而只存在“建造期间”、建成之后的“运输期间”以及预定海域的“安装期间”。再考虑到船建险条款又明确将建造、试航和交船期间区域限于造船厂范围内，可以合理认为，案涉船建险针对渔场这一特殊保险标的，保险期间绝对覆盖的范围是造船厂内的建造时间，包括其在船厂的分段建造期间，以及总装合拢、网箱拼装期间，保险条款中的“试航和交船过程”其实并不适用，更不应包括渔场建成之后的“运输期间”以及预定海域的“安装期间”。</w:t>
      </w:r>
    </w:p>
    <w:p w14:paraId="1D5C4416">
      <w:pPr>
        <w:ind w:firstLine="482"/>
        <w:rPr>
          <w:rFonts w:hint="default" w:ascii="Times New Roman" w:hAnsi="Times New Roman" w:eastAsia="仿宋" w:cs="Times New Roman"/>
        </w:rPr>
      </w:pPr>
      <w:r>
        <w:rPr>
          <w:rFonts w:hint="default" w:ascii="Times New Roman" w:hAnsi="Times New Roman" w:eastAsia="仿宋" w:cs="Times New Roman"/>
          <w:b/>
        </w:rPr>
        <w:t>2. 从体系解释的角度</w:t>
      </w:r>
      <w:r>
        <w:rPr>
          <w:rFonts w:hint="default" w:ascii="Times New Roman" w:hAnsi="Times New Roman" w:eastAsia="仿宋" w:cs="Times New Roman"/>
        </w:rPr>
        <w:t>。除保险期间外，案涉船建险条款对承保区域也作出了明确约定。根据《船建险条款》第五条“承保区域”的规定，保险船舶的承保区域，包括建造期间、试航期间、交船期间三个区域。其中，建造期间仅限于造船厂范围内。如果建造船舶在造船厂范围以外的任何拖航必须事先通知保险人并交付规定的保险费后方予负责。而保险船舶的试航、交船期间的行为仅限于船舶的单程自航行为。</w:t>
      </w:r>
    </w:p>
    <w:p w14:paraId="37E96EB5">
      <w:pPr>
        <w:ind w:firstLine="480"/>
        <w:rPr>
          <w:rFonts w:hint="default" w:ascii="Times New Roman" w:hAnsi="Times New Roman" w:eastAsia="仿宋" w:cs="Times New Roman"/>
        </w:rPr>
      </w:pPr>
      <w:r>
        <w:rPr>
          <w:rFonts w:hint="default" w:ascii="Times New Roman" w:hAnsi="Times New Roman" w:eastAsia="仿宋" w:cs="Times New Roman"/>
        </w:rPr>
        <w:t>对船建险条款约定的保险船舶的试航与交船，从内容来看，保险人承保的是相应吨位的船舶在一定的单程自航距离内产生的风险。对保险船舶而言，试航、交船是与建造密切相关的环节，目的在于检验建造船舶的航行能力，是船建险合同通常都会约定的在造船厂范围以外的承保区域。但本案中，渔场作为保险标的，其本身不是船舶，不需要通过试航、交船过程检验其航行能力的可能性，当然也就不存在像船舶那样因试航、交船期间的自航行为而产生的可承保风险。</w:t>
      </w:r>
    </w:p>
    <w:p w14:paraId="0CC37E54">
      <w:pPr>
        <w:ind w:firstLine="480"/>
        <w:rPr>
          <w:rFonts w:hint="default" w:ascii="Times New Roman" w:hAnsi="Times New Roman" w:eastAsia="仿宋" w:cs="Times New Roman"/>
        </w:rPr>
      </w:pPr>
      <w:r>
        <w:rPr>
          <w:rFonts w:hint="default" w:ascii="Times New Roman" w:hAnsi="Times New Roman" w:eastAsia="仿宋" w:cs="Times New Roman"/>
        </w:rPr>
        <w:t>本案中，双方在保险合同中同时约定了保险期间与承保区域，二者分别从时间与空间两个维度，对保险人就保险标的所承担的保险责任进行了规制，是相互匹配，相辅相成的。因此，从合同体系解释的角度，我们亦可合理认为，船建险合同项下保险人对渔场的承保责任范围，实际上只包括在船厂内的“建造期间”。B公司对渔场在船厂建造过程中，包括建造该渔场所需的在保险价值内的一切材料、机械和设备在船厂范围内装卸、运输、保管和安装过程中，由于承保风险所造成的损失和费用承担保险责任。但对渔场离开造船厂范围之外的运输、定位安装过程，不属于其保险期间和承保区域，B公司不应承担保险责任。</w:t>
      </w:r>
    </w:p>
    <w:p w14:paraId="13B51AC3">
      <w:pPr>
        <w:ind w:firstLine="482"/>
        <w:rPr>
          <w:rFonts w:hint="default" w:ascii="Times New Roman" w:hAnsi="Times New Roman" w:eastAsia="仿宋" w:cs="Times New Roman"/>
        </w:rPr>
      </w:pPr>
      <w:r>
        <w:rPr>
          <w:rFonts w:hint="default" w:ascii="Times New Roman" w:hAnsi="Times New Roman" w:eastAsia="仿宋" w:cs="Times New Roman"/>
          <w:b/>
        </w:rPr>
        <w:t>3. 从目的解释和商业合理性的角度。</w:t>
      </w:r>
      <w:r>
        <w:rPr>
          <w:rFonts w:hint="default" w:ascii="Times New Roman" w:hAnsi="Times New Roman" w:eastAsia="仿宋" w:cs="Times New Roman"/>
        </w:rPr>
        <w:t>本案中A公司投保的船建险与安工险属于两个不同的险种，二者的保险目的与保障内容显然是不同的。从保险业务上说，船建险的保险目的，在于保障保险船舶的建造质量与航行能力。而安工险的保险目的，在于保障安装工程项目的顺利实施。如前所述，渔场作为深海养殖装备，本身不具有航行能力，不具备《船建险条款》第五条第2款所规定的“试航、交船过程”，不存在需要通过试航、交船过程检验其航行能力的可能性，自然也就不存在像船舶那样因试航、交船期间的自航行为而产生的可承保风险。因此，针对不具有航行能力的渔场而言，即使被保险人为其投保了船舶建造保险，但在船建险合同项下，实际上保险人只承保渔场在建造期间的风险，从质量上保障渔场建造的顺利完成。</w:t>
      </w:r>
    </w:p>
    <w:p w14:paraId="2DB9F25D">
      <w:pPr>
        <w:ind w:firstLine="480"/>
        <w:rPr>
          <w:rFonts w:hint="default" w:ascii="Times New Roman" w:hAnsi="Times New Roman" w:eastAsia="仿宋" w:cs="Times New Roman"/>
        </w:rPr>
      </w:pPr>
      <w:r>
        <w:rPr>
          <w:rFonts w:hint="default" w:ascii="Times New Roman" w:hAnsi="Times New Roman" w:eastAsia="仿宋" w:cs="Times New Roman"/>
        </w:rPr>
        <w:t>按照《建造合同》的规定，在渔场建造完成后，A公司需要自担风险，负责将渔场从船厂运输至指定海域进行投放安装。实际上，正是鉴于A公司与B公司之间签订的船建险合同本意只承保渔场在船厂建造期间的风险，无法覆盖渔场在运输期间与定位安装期间的风险，为保证渔场的运输安全，保障渔场在指定海域定位安装工程的顺利实施，A公司才会向C公司分别投保了货运险与安工险。在现有重复保险制度下，对被保险人而言，重复投保只会徒增投保成本而不会得到更多的赔偿，故正常情况下商事主体不会有重复保险的意愿。因此，从商业合理性的角度，亦可得出案涉船建险本意上并不覆盖渔场运输和定位安装阶段风险的结论。</w:t>
      </w:r>
    </w:p>
    <w:p w14:paraId="4FD650EE">
      <w:pPr>
        <w:spacing w:before="156" w:beforeLines="50" w:after="156" w:afterLines="50"/>
        <w:ind w:firstLine="560"/>
        <w:outlineLvl w:val="0"/>
        <w:rPr>
          <w:rFonts w:hint="default" w:ascii="Times New Roman" w:hAnsi="Times New Roman" w:eastAsia="仿宋" w:cs="Times New Roman"/>
          <w:sz w:val="28"/>
        </w:rPr>
      </w:pPr>
      <w:r>
        <w:rPr>
          <w:rFonts w:hint="default" w:ascii="Times New Roman" w:hAnsi="Times New Roman" w:eastAsia="仿宋" w:cs="Times New Roman"/>
          <w:sz w:val="28"/>
        </w:rPr>
        <w:t>四、思考和建议</w:t>
      </w:r>
    </w:p>
    <w:p w14:paraId="66713A20">
      <w:pPr>
        <w:ind w:firstLine="480"/>
        <w:rPr>
          <w:rFonts w:hint="default" w:ascii="Times New Roman" w:hAnsi="Times New Roman" w:eastAsia="仿宋" w:cs="Times New Roman"/>
        </w:rPr>
      </w:pPr>
      <w:r>
        <w:rPr>
          <w:rFonts w:hint="default" w:ascii="Times New Roman" w:hAnsi="Times New Roman" w:eastAsia="仿宋" w:cs="Times New Roman"/>
        </w:rPr>
        <w:t>本案中，渔场船舶建造险合同条款关于保险期间与承保区域的设置均延续传统船舶建造险的结构逻辑，但当保险标的从“船舶”变为“无动力深海养殖装备”时，传统船舶建造险条款体系便难以无缝适配现实情形，从而产生“时间与空间的错位”现象。本案保险人和被保险人在一定程度上均可从合同条款中找寻到利于己方的条款约定，且均有一定解释依据，如此也导致了本案在法律适用上产生极大争议。本案不仅关系当事人巨额经济损失的承担，背后更折射出海洋工程装备快速发展背景下保险产品和制度相对滞后的结构性问题。</w:t>
      </w:r>
    </w:p>
    <w:p w14:paraId="11755E13">
      <w:pPr>
        <w:ind w:firstLine="480"/>
        <w:rPr>
          <w:rFonts w:hint="default" w:ascii="Times New Roman" w:hAnsi="Times New Roman" w:eastAsia="仿宋" w:cs="Times New Roman"/>
        </w:rPr>
      </w:pPr>
      <w:r>
        <w:rPr>
          <w:rFonts w:hint="default" w:ascii="Times New Roman" w:hAnsi="Times New Roman" w:eastAsia="仿宋" w:cs="Times New Roman"/>
        </w:rPr>
        <w:t>从实务角度出发，我们建议，保险人在承保此类装备时应提前了解保险标的的建造、运输、安装和交付全流程，以便对保险期间、承保区域、运输、安装与交付的风险边界进行更清晰、专业的划分，尤其应注意区分保单条款中“交付”与海工装备建造合同的“交付”。同样，被保险人亦应根据装备特性进行科学的保险规划和安排，避免因保单衔接不当而产生责任真空。</w:t>
      </w:r>
    </w:p>
    <w:p w14:paraId="4761A6A0">
      <w:pPr>
        <w:ind w:firstLine="480"/>
        <w:rPr>
          <w:rFonts w:hint="default" w:ascii="Times New Roman" w:hAnsi="Times New Roman" w:eastAsia="仿宋" w:cs="Times New Roman"/>
        </w:rPr>
      </w:pPr>
      <w:r>
        <w:rPr>
          <w:rFonts w:hint="default" w:ascii="Times New Roman" w:hAnsi="Times New Roman" w:eastAsia="仿宋" w:cs="Times New Roman"/>
        </w:rPr>
        <w:t>通过本案可以看出，单纯套用船舶建造险实际上已难以满足复杂的海洋装备实际需求。保险业作为各行业发展的“减震器”和“压舱石”，如何在保险产品、合同条款设计和风险管理体系方面建立更具有科学性、前沿性和包容性的制度框架，是当前和未来海上保险领域亟待解决的重要课题。在此背景下，保险、海工建造和法律行业更应积极联动，合力推进专门针对海洋工程装备建造、运输和安装全过程的保险产品建设与标准化条款制定，以回应新业态下的风险管理需求。</w:t>
      </w:r>
    </w:p>
    <w:p w14:paraId="17AEFA36">
      <w:pPr>
        <w:rPr>
          <w:rFonts w:hint="default" w:ascii="Times New Roman" w:hAnsi="Times New Roman" w:eastAsia="仿宋" w:cs="Times New Roman"/>
        </w:rPr>
      </w:pPr>
      <w:r>
        <w:rPr>
          <w:rFonts w:hint="default" w:ascii="Times New Roman" w:hAnsi="Times New Roman" w:eastAsia="仿宋" w:cs="Times New Roman"/>
        </w:rPr>
        <w:br w:type="page"/>
      </w:r>
    </w:p>
    <w:p w14:paraId="0159124C">
      <w:pPr>
        <w:spacing w:after="160" w:line="560" w:lineRule="exact"/>
        <w:jc w:val="center"/>
        <w:rPr>
          <w:rFonts w:hint="default" w:ascii="Times New Roman" w:hAnsi="Times New Roman" w:eastAsia="仿宋" w:cs="Times New Roman"/>
          <w:sz w:val="44"/>
          <w:szCs w:val="44"/>
          <w:lang w:val="en-US" w:eastAsia="zh-CN"/>
        </w:rPr>
      </w:pPr>
      <w:r>
        <w:rPr>
          <w:rFonts w:hint="default" w:ascii="Times New Roman" w:hAnsi="Times New Roman" w:eastAsia="仿宋" w:cs="Times New Roman"/>
          <w:sz w:val="44"/>
          <w:szCs w:val="44"/>
          <w:lang w:val="en-US" w:eastAsia="zh-CN"/>
        </w:rPr>
        <w:t>各类信息标签</w:t>
      </w:r>
    </w:p>
    <w:tbl>
      <w:tblPr>
        <w:tblStyle w:val="8"/>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7358"/>
      </w:tblGrid>
      <w:tr w14:paraId="07BD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86" w:type="pct"/>
            <w:noWrap w:val="0"/>
            <w:vAlign w:val="center"/>
          </w:tcPr>
          <w:p w14:paraId="094E4144">
            <w:pPr>
              <w:widowControl w:val="0"/>
              <w:spacing w:line="360" w:lineRule="auto"/>
              <w:ind w:left="0" w:leftChars="0" w:firstLine="0" w:firstLineChars="0"/>
              <w:jc w:val="both"/>
              <w:rPr>
                <w:rFonts w:hint="default" w:ascii="Times New Roman" w:hAnsi="Times New Roman" w:eastAsia="仿宋" w:cs="Times New Roman"/>
                <w:szCs w:val="21"/>
                <w:lang w:val="en-US" w:eastAsia="zh-CN"/>
              </w:rPr>
            </w:pPr>
            <w:r>
              <w:rPr>
                <w:rFonts w:hint="default" w:ascii="Times New Roman" w:hAnsi="Times New Roman" w:eastAsia="仿宋" w:cs="Times New Roman"/>
                <w:szCs w:val="21"/>
                <w:lang w:val="en-US" w:eastAsia="zh-CN"/>
              </w:rPr>
              <w:t>主要服务国家或地区</w:t>
            </w:r>
          </w:p>
        </w:tc>
        <w:tc>
          <w:tcPr>
            <w:tcW w:w="4313" w:type="pct"/>
            <w:noWrap w:val="0"/>
            <w:vAlign w:val="center"/>
          </w:tcPr>
          <w:p w14:paraId="283F52D9">
            <w:pPr>
              <w:widowControl w:val="0"/>
              <w:spacing w:line="360" w:lineRule="auto"/>
              <w:rPr>
                <w:rFonts w:hint="default" w:ascii="Times New Roman" w:hAnsi="Times New Roman" w:eastAsia="仿宋" w:cs="Times New Roman"/>
                <w:szCs w:val="21"/>
                <w:lang w:val="en-US" w:eastAsia="zh-CN"/>
              </w:rPr>
            </w:pPr>
            <w:r>
              <w:rPr>
                <w:rFonts w:hint="default" w:ascii="Times New Roman" w:hAnsi="Times New Roman" w:eastAsia="仿宋" w:cs="Times New Roman"/>
                <w:szCs w:val="21"/>
                <w:lang w:val="en-US" w:eastAsia="zh-CN"/>
              </w:rPr>
              <w:t>中国</w:t>
            </w:r>
            <w:r>
              <w:rPr>
                <w:rFonts w:hint="eastAsia" w:eastAsia="仿宋" w:cs="Times New Roman"/>
                <w:szCs w:val="21"/>
                <w:lang w:val="en-US" w:eastAsia="zh-CN"/>
              </w:rPr>
              <w:t>大陆</w:t>
            </w:r>
            <w:r>
              <w:rPr>
                <w:rFonts w:hint="default" w:ascii="Times New Roman" w:hAnsi="Times New Roman" w:eastAsia="仿宋" w:cs="Times New Roman"/>
                <w:szCs w:val="21"/>
                <w:lang w:val="en-US" w:eastAsia="zh-CN"/>
              </w:rPr>
              <w:t>、</w:t>
            </w:r>
            <w:r>
              <w:rPr>
                <w:rFonts w:hint="eastAsia" w:eastAsia="仿宋" w:cs="Times New Roman"/>
                <w:szCs w:val="21"/>
                <w:lang w:val="en-US" w:eastAsia="zh-CN"/>
              </w:rPr>
              <w:t>中国</w:t>
            </w:r>
            <w:r>
              <w:rPr>
                <w:rFonts w:hint="default" w:ascii="Times New Roman" w:hAnsi="Times New Roman" w:eastAsia="仿宋" w:cs="Times New Roman"/>
                <w:szCs w:val="21"/>
                <w:lang w:val="en-US" w:eastAsia="zh-CN"/>
              </w:rPr>
              <w:t>香港</w:t>
            </w:r>
            <w:bookmarkStart w:id="0" w:name="_GoBack"/>
            <w:bookmarkEnd w:id="0"/>
          </w:p>
        </w:tc>
      </w:tr>
      <w:tr w14:paraId="3A9C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2DB40038">
            <w:pPr>
              <w:widowControl w:val="0"/>
              <w:spacing w:before="156" w:beforeLines="50" w:after="156" w:afterLines="50" w:line="36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产品</w:t>
            </w:r>
            <w:r>
              <w:rPr>
                <w:rFonts w:hint="default" w:ascii="Times New Roman" w:hAnsi="Times New Roman" w:eastAsia="仿宋" w:cs="Times New Roman"/>
                <w:szCs w:val="21"/>
                <w:lang w:val="en-US" w:eastAsia="zh-CN"/>
              </w:rPr>
              <w:t>专业</w:t>
            </w:r>
            <w:r>
              <w:rPr>
                <w:rFonts w:hint="default" w:ascii="Times New Roman" w:hAnsi="Times New Roman" w:eastAsia="仿宋" w:cs="Times New Roman"/>
                <w:szCs w:val="21"/>
              </w:rPr>
              <w:t>类型</w:t>
            </w:r>
          </w:p>
        </w:tc>
        <w:tc>
          <w:tcPr>
            <w:tcW w:w="4313" w:type="pct"/>
            <w:noWrap w:val="0"/>
            <w:vAlign w:val="center"/>
          </w:tcPr>
          <w:p w14:paraId="27BF55EE">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□跨境诉讼</w:t>
            </w:r>
          </w:p>
          <w:p w14:paraId="22F3DE3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□国际商事调解和仲裁</w:t>
            </w:r>
          </w:p>
          <w:p w14:paraId="4F151A6F">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□跨境投资并购</w:t>
            </w:r>
          </w:p>
          <w:p w14:paraId="5D9E00F9">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□国际证券资本市场</w:t>
            </w:r>
          </w:p>
          <w:p w14:paraId="75BB546B">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□国际贸易及海关</w:t>
            </w:r>
          </w:p>
          <w:p w14:paraId="0C151D66">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□国际税法</w:t>
            </w:r>
          </w:p>
          <w:p w14:paraId="100B07A2">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lang w:eastAsia="zh-CN"/>
              </w:rPr>
              <w:t>☑</w:t>
            </w:r>
            <w:r>
              <w:rPr>
                <w:rFonts w:hint="default" w:ascii="Times New Roman" w:hAnsi="Times New Roman" w:eastAsia="仿宋" w:cs="Times New Roman"/>
                <w:szCs w:val="21"/>
              </w:rPr>
              <w:t>海事海商、航运金融</w:t>
            </w:r>
          </w:p>
          <w:p w14:paraId="3AF47BC4">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□国际工程</w:t>
            </w:r>
          </w:p>
          <w:p w14:paraId="5601B68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□国际房地产开发</w:t>
            </w:r>
          </w:p>
          <w:p w14:paraId="5F5402F9">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□国际知识产权</w:t>
            </w:r>
          </w:p>
          <w:p w14:paraId="328F3D29">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□国际金融、保险业务</w:t>
            </w:r>
          </w:p>
          <w:p w14:paraId="46DCC6EB">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□跨境数据合规业务</w:t>
            </w:r>
          </w:p>
          <w:p w14:paraId="55B860F7">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□国际矿业、能源业务</w:t>
            </w:r>
          </w:p>
          <w:p w14:paraId="0F7BC3D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□国际ESG法律服务</w:t>
            </w:r>
          </w:p>
          <w:p w14:paraId="3E2B782B">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□国际劳动用工</w:t>
            </w:r>
          </w:p>
          <w:p w14:paraId="14FA183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□反倾销和反补贴、WTO业务</w:t>
            </w:r>
          </w:p>
          <w:p w14:paraId="26B6AA0C">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□反垄断、反不正当竞争</w:t>
            </w:r>
          </w:p>
          <w:p w14:paraId="4315D554">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lang w:eastAsia="zh-CN"/>
              </w:rPr>
              <w:t>□</w:t>
            </w:r>
            <w:r>
              <w:rPr>
                <w:rFonts w:hint="default" w:ascii="Times New Roman" w:hAnsi="Times New Roman" w:eastAsia="仿宋" w:cs="Times New Roman"/>
                <w:szCs w:val="21"/>
              </w:rPr>
              <w:t>进出口管制和经济制裁</w:t>
            </w:r>
          </w:p>
          <w:p w14:paraId="3096D77C">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□国家安全审查与地缘政治风险应对</w:t>
            </w:r>
          </w:p>
          <w:p w14:paraId="2EF1A0CF">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□反腐败</w:t>
            </w:r>
          </w:p>
          <w:p w14:paraId="5F95AA5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□反洗钱、反恐怖主义融资</w:t>
            </w:r>
          </w:p>
          <w:p w14:paraId="6105662A">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□跨境破产与债务重组</w:t>
            </w:r>
          </w:p>
          <w:p w14:paraId="566ADD73">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□跨境家族信托与财富传承</w:t>
            </w:r>
          </w:p>
        </w:tc>
      </w:tr>
      <w:tr w14:paraId="60A8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4C59ACFF">
            <w:pPr>
              <w:widowControl w:val="0"/>
              <w:spacing w:before="156" w:beforeLines="50" w:after="156" w:afterLines="50" w:line="360" w:lineRule="exact"/>
              <w:jc w:val="center"/>
              <w:rPr>
                <w:rFonts w:hint="default" w:ascii="Times New Roman" w:hAnsi="Times New Roman" w:eastAsia="仿宋" w:cs="Times New Roman"/>
                <w:szCs w:val="21"/>
              </w:rPr>
            </w:pPr>
            <w:r>
              <w:rPr>
                <w:rFonts w:hint="default" w:ascii="Times New Roman" w:hAnsi="Times New Roman" w:eastAsia="仿宋" w:cs="Times New Roman"/>
                <w:szCs w:val="21"/>
              </w:rPr>
              <w:t>产品</w:t>
            </w:r>
            <w:r>
              <w:rPr>
                <w:rFonts w:hint="default" w:ascii="Times New Roman" w:hAnsi="Times New Roman" w:eastAsia="仿宋" w:cs="Times New Roman"/>
                <w:szCs w:val="21"/>
                <w:lang w:val="en-US" w:eastAsia="zh-CN"/>
              </w:rPr>
              <w:t>对应行业</w:t>
            </w:r>
          </w:p>
        </w:tc>
        <w:tc>
          <w:tcPr>
            <w:tcW w:w="4313" w:type="pct"/>
            <w:noWrap w:val="0"/>
            <w:vAlign w:val="center"/>
          </w:tcPr>
          <w:p w14:paraId="7498782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lang w:eastAsia="zh-CN"/>
              </w:rPr>
              <w:t>□</w:t>
            </w:r>
            <w:r>
              <w:rPr>
                <w:rFonts w:hint="default" w:ascii="Times New Roman" w:hAnsi="Times New Roman" w:eastAsia="仿宋" w:cs="Times New Roman"/>
                <w:szCs w:val="21"/>
              </w:rPr>
              <w:t>农林牧渔业</w:t>
            </w:r>
          </w:p>
          <w:p w14:paraId="568A5FF8">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□采矿业</w:t>
            </w:r>
          </w:p>
          <w:p w14:paraId="34EA6D7B">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□制造业</w:t>
            </w:r>
          </w:p>
          <w:p w14:paraId="28744D2A">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□建筑业</w:t>
            </w:r>
          </w:p>
          <w:p w14:paraId="5BF7C57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□批发零售业</w:t>
            </w:r>
          </w:p>
          <w:p w14:paraId="74639347">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lang w:eastAsia="zh-CN"/>
              </w:rPr>
              <w:t>☑</w:t>
            </w:r>
            <w:r>
              <w:rPr>
                <w:rFonts w:hint="default" w:ascii="Times New Roman" w:hAnsi="Times New Roman" w:eastAsia="仿宋" w:cs="Times New Roman"/>
                <w:szCs w:val="21"/>
              </w:rPr>
              <w:t>交通运输、仓储和物流服务业</w:t>
            </w:r>
          </w:p>
          <w:p w14:paraId="361C4EFD">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□住宿和餐饮业</w:t>
            </w:r>
          </w:p>
          <w:p w14:paraId="60C6656D">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□信息传输、软件和信息技术服务业</w:t>
            </w:r>
          </w:p>
          <w:p w14:paraId="5BCFFC05">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□金融业（含资本市场服务）</w:t>
            </w:r>
          </w:p>
          <w:p w14:paraId="6F0CE48A">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□房地产业</w:t>
            </w:r>
          </w:p>
          <w:p w14:paraId="0B04A10F">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□租赁和商务服务业</w:t>
            </w:r>
          </w:p>
          <w:p w14:paraId="31EB4AF0">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□科学研究和技术服务业</w:t>
            </w:r>
          </w:p>
          <w:p w14:paraId="48B248B4">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□节能环保清洁产业（含清洁生产、清洁能源）</w:t>
            </w:r>
          </w:p>
          <w:p w14:paraId="44872351">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□医疗卫生与健康服务</w:t>
            </w:r>
          </w:p>
          <w:p w14:paraId="06D6FD6C">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□文化、体育和娱乐业</w:t>
            </w:r>
          </w:p>
          <w:p w14:paraId="76A1CC0C">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□教育培训</w:t>
            </w:r>
          </w:p>
          <w:p w14:paraId="428CA0BA">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□集成电路</w:t>
            </w:r>
          </w:p>
          <w:p w14:paraId="2ABE10A9">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□生物医药（创新药物、高端医疗器械、生物技术服务等）</w:t>
            </w:r>
          </w:p>
          <w:p w14:paraId="61864926">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□人工智能（智能芯片、智能软件、自动驾驶、具身智能等）</w:t>
            </w:r>
          </w:p>
          <w:p w14:paraId="38370F26">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电子信息</w:t>
            </w:r>
          </w:p>
          <w:p w14:paraId="5F98C3DE">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生命健康</w:t>
            </w:r>
          </w:p>
          <w:p w14:paraId="097A0F6A">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汽车</w:t>
            </w:r>
          </w:p>
          <w:p w14:paraId="73A64C44">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高端装备</w:t>
            </w:r>
          </w:p>
          <w:p w14:paraId="44E2D987">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先进材料</w:t>
            </w:r>
          </w:p>
          <w:p w14:paraId="56190950">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□时尚消费品</w:t>
            </w:r>
          </w:p>
          <w:p w14:paraId="3E9D9BFF">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□低空经济</w:t>
            </w:r>
          </w:p>
          <w:p w14:paraId="59C13A04">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□未来产业（光子芯片与器件、基因与细胞技术、类脑智能、新型海洋经济、氢能与储能等）</w:t>
            </w:r>
          </w:p>
          <w:p w14:paraId="0A951439">
            <w:pPr>
              <w:widowControl/>
              <w:autoSpaceDE w:val="0"/>
              <w:autoSpaceDN w:val="0"/>
              <w:snapToGrid w:val="0"/>
              <w:spacing w:line="340" w:lineRule="exact"/>
              <w:rPr>
                <w:rFonts w:hint="default" w:ascii="Times New Roman" w:hAnsi="Times New Roman" w:eastAsia="仿宋" w:cs="Times New Roman"/>
                <w:szCs w:val="21"/>
              </w:rPr>
            </w:pPr>
            <w:r>
              <w:rPr>
                <w:rFonts w:hint="default" w:ascii="Times New Roman" w:hAnsi="Times New Roman" w:eastAsia="仿宋" w:cs="Times New Roman"/>
                <w:szCs w:val="21"/>
              </w:rPr>
              <w:t>□游戏和电竞</w:t>
            </w:r>
          </w:p>
        </w:tc>
      </w:tr>
    </w:tbl>
    <w:p w14:paraId="5A4FF16B">
      <w:pPr>
        <w:ind w:firstLine="480"/>
        <w:rPr>
          <w:rFonts w:hint="default" w:ascii="Times New Roman" w:hAnsi="Times New Roman" w:eastAsia="仿宋" w:cs="Times New Roman"/>
        </w:rPr>
      </w:pPr>
    </w:p>
    <w:p w14:paraId="250A9084">
      <w:pPr>
        <w:ind w:firstLine="480"/>
        <w:rPr>
          <w:rFonts w:hint="default" w:ascii="Times New Roman" w:hAnsi="Times New Roman" w:eastAsia="仿宋" w:cs="Times New Roman"/>
        </w:rPr>
      </w:pPr>
    </w:p>
    <w:sectPr>
      <w:footerReference r:id="rId5" w:type="default"/>
      <w:footerReference r:id="rId6" w:type="even"/>
      <w:pgSz w:w="11900"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241849704"/>
      <w:docPartObj>
        <w:docPartGallery w:val="autotext"/>
      </w:docPartObj>
    </w:sdtPr>
    <w:sdtEndPr>
      <w:rPr>
        <w:rStyle w:val="10"/>
      </w:rPr>
    </w:sdtEndPr>
    <w:sdtContent>
      <w:p w14:paraId="69389D9A">
        <w:pPr>
          <w:pStyle w:val="4"/>
          <w:framePr w:wrap="auto" w:vAnchor="text" w:hAnchor="margin" w:xAlign="center" w:y="1"/>
          <w:ind w:firstLine="360"/>
          <w:rPr>
            <w:rStyle w:val="10"/>
          </w:rPr>
        </w:pPr>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p>
    </w:sdtContent>
  </w:sdt>
  <w:p w14:paraId="3C0300C0">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660472705"/>
      <w:docPartObj>
        <w:docPartGallery w:val="autotext"/>
      </w:docPartObj>
    </w:sdtPr>
    <w:sdtEndPr>
      <w:rPr>
        <w:rStyle w:val="10"/>
      </w:rPr>
    </w:sdtEndPr>
    <w:sdtContent>
      <w:p w14:paraId="40BCB5E2">
        <w:pPr>
          <w:pStyle w:val="4"/>
          <w:framePr w:wrap="auto" w:vAnchor="text" w:hAnchor="margin" w:xAlign="center" w:y="1"/>
          <w:ind w:firstLine="360"/>
          <w:rPr>
            <w:rStyle w:val="10"/>
          </w:rPr>
        </w:pPr>
        <w:r>
          <w:rPr>
            <w:rStyle w:val="10"/>
          </w:rPr>
          <w:fldChar w:fldCharType="begin"/>
        </w:r>
        <w:r>
          <w:rPr>
            <w:rStyle w:val="10"/>
          </w:rPr>
          <w:instrText xml:space="preserve"> PAGE </w:instrText>
        </w:r>
        <w:r>
          <w:rPr>
            <w:rStyle w:val="10"/>
          </w:rPr>
          <w:fldChar w:fldCharType="end"/>
        </w:r>
      </w:p>
    </w:sdtContent>
  </w:sdt>
  <w:p w14:paraId="229A84EE">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8A49DD"/>
    <w:multiLevelType w:val="multilevel"/>
    <w:tmpl w:val="3F8A49DD"/>
    <w:lvl w:ilvl="0" w:tentative="0">
      <w:start w:val="4"/>
      <w:numFmt w:val="bullet"/>
      <w:lvlText w:val="—"/>
      <w:lvlJc w:val="left"/>
      <w:pPr>
        <w:ind w:left="360" w:hanging="360"/>
      </w:pPr>
      <w:rPr>
        <w:rFonts w:hint="eastAsia" w:ascii="楷体" w:hAnsi="楷体" w:eastAsia="楷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499"/>
    <w:rsid w:val="00003E5C"/>
    <w:rsid w:val="00004627"/>
    <w:rsid w:val="000354F8"/>
    <w:rsid w:val="00037DF1"/>
    <w:rsid w:val="00042CB7"/>
    <w:rsid w:val="000454E5"/>
    <w:rsid w:val="000460A2"/>
    <w:rsid w:val="00050FD5"/>
    <w:rsid w:val="00051936"/>
    <w:rsid w:val="00051B73"/>
    <w:rsid w:val="0006617D"/>
    <w:rsid w:val="00072A05"/>
    <w:rsid w:val="0009028B"/>
    <w:rsid w:val="000A1A4C"/>
    <w:rsid w:val="000B224F"/>
    <w:rsid w:val="000C4099"/>
    <w:rsid w:val="000D1CA1"/>
    <w:rsid w:val="000E00B8"/>
    <w:rsid w:val="000E4EB5"/>
    <w:rsid w:val="000F2D4F"/>
    <w:rsid w:val="000F6A62"/>
    <w:rsid w:val="00102751"/>
    <w:rsid w:val="0011106E"/>
    <w:rsid w:val="00112CCA"/>
    <w:rsid w:val="00114E55"/>
    <w:rsid w:val="00115D9F"/>
    <w:rsid w:val="0012033E"/>
    <w:rsid w:val="001205BA"/>
    <w:rsid w:val="001212E5"/>
    <w:rsid w:val="00123EFA"/>
    <w:rsid w:val="00124D44"/>
    <w:rsid w:val="001261FE"/>
    <w:rsid w:val="00137F5E"/>
    <w:rsid w:val="001457BE"/>
    <w:rsid w:val="00174553"/>
    <w:rsid w:val="0018795D"/>
    <w:rsid w:val="00187A27"/>
    <w:rsid w:val="001963DB"/>
    <w:rsid w:val="001979C5"/>
    <w:rsid w:val="001A1344"/>
    <w:rsid w:val="001A20DC"/>
    <w:rsid w:val="001A244D"/>
    <w:rsid w:val="001A3473"/>
    <w:rsid w:val="001A48B9"/>
    <w:rsid w:val="001A65E7"/>
    <w:rsid w:val="001C1FEB"/>
    <w:rsid w:val="001C6A50"/>
    <w:rsid w:val="001D1664"/>
    <w:rsid w:val="001E3211"/>
    <w:rsid w:val="001F3B38"/>
    <w:rsid w:val="00214329"/>
    <w:rsid w:val="002208AC"/>
    <w:rsid w:val="00220D43"/>
    <w:rsid w:val="00230BA7"/>
    <w:rsid w:val="00230CC0"/>
    <w:rsid w:val="002365C4"/>
    <w:rsid w:val="00244861"/>
    <w:rsid w:val="00245628"/>
    <w:rsid w:val="00245D09"/>
    <w:rsid w:val="0025477B"/>
    <w:rsid w:val="00261395"/>
    <w:rsid w:val="00274BF6"/>
    <w:rsid w:val="00280D0E"/>
    <w:rsid w:val="002871D4"/>
    <w:rsid w:val="00295864"/>
    <w:rsid w:val="002A7B50"/>
    <w:rsid w:val="002B6844"/>
    <w:rsid w:val="002C06B9"/>
    <w:rsid w:val="002C20B3"/>
    <w:rsid w:val="002C2D20"/>
    <w:rsid w:val="002C4924"/>
    <w:rsid w:val="002D3151"/>
    <w:rsid w:val="002D4DC8"/>
    <w:rsid w:val="002E28C2"/>
    <w:rsid w:val="002F010D"/>
    <w:rsid w:val="002F1D78"/>
    <w:rsid w:val="00303EE0"/>
    <w:rsid w:val="0031034C"/>
    <w:rsid w:val="0031352C"/>
    <w:rsid w:val="00315913"/>
    <w:rsid w:val="00316E0C"/>
    <w:rsid w:val="003175C6"/>
    <w:rsid w:val="00322880"/>
    <w:rsid w:val="003240F9"/>
    <w:rsid w:val="00326592"/>
    <w:rsid w:val="0036011E"/>
    <w:rsid w:val="00361BC6"/>
    <w:rsid w:val="003628DE"/>
    <w:rsid w:val="00364AD9"/>
    <w:rsid w:val="00364F65"/>
    <w:rsid w:val="00367C1D"/>
    <w:rsid w:val="00384D54"/>
    <w:rsid w:val="003906A9"/>
    <w:rsid w:val="00395B3B"/>
    <w:rsid w:val="003A1B58"/>
    <w:rsid w:val="003A72A3"/>
    <w:rsid w:val="003B1B92"/>
    <w:rsid w:val="003B2314"/>
    <w:rsid w:val="003C5010"/>
    <w:rsid w:val="003C67F5"/>
    <w:rsid w:val="003C6C4D"/>
    <w:rsid w:val="003D7AC2"/>
    <w:rsid w:val="003E60F2"/>
    <w:rsid w:val="003F0BB7"/>
    <w:rsid w:val="003F16E9"/>
    <w:rsid w:val="003F50E4"/>
    <w:rsid w:val="004008E9"/>
    <w:rsid w:val="004028C5"/>
    <w:rsid w:val="004051EC"/>
    <w:rsid w:val="004102AE"/>
    <w:rsid w:val="00412DCA"/>
    <w:rsid w:val="00420AA6"/>
    <w:rsid w:val="00424018"/>
    <w:rsid w:val="00424BD4"/>
    <w:rsid w:val="00425111"/>
    <w:rsid w:val="00447A46"/>
    <w:rsid w:val="00453864"/>
    <w:rsid w:val="00455600"/>
    <w:rsid w:val="0046214B"/>
    <w:rsid w:val="00462BF3"/>
    <w:rsid w:val="004656C8"/>
    <w:rsid w:val="004678B0"/>
    <w:rsid w:val="00467F76"/>
    <w:rsid w:val="00484482"/>
    <w:rsid w:val="00497FFA"/>
    <w:rsid w:val="004A4735"/>
    <w:rsid w:val="004B0BD4"/>
    <w:rsid w:val="004B1F9A"/>
    <w:rsid w:val="004B2983"/>
    <w:rsid w:val="004B2E18"/>
    <w:rsid w:val="004B3D88"/>
    <w:rsid w:val="004B4EA3"/>
    <w:rsid w:val="004C03DF"/>
    <w:rsid w:val="004C27B6"/>
    <w:rsid w:val="004D7B65"/>
    <w:rsid w:val="004E09FA"/>
    <w:rsid w:val="004F18C8"/>
    <w:rsid w:val="004F34FC"/>
    <w:rsid w:val="004F3C55"/>
    <w:rsid w:val="004F4A0D"/>
    <w:rsid w:val="0051166A"/>
    <w:rsid w:val="00511768"/>
    <w:rsid w:val="00512021"/>
    <w:rsid w:val="00520C6A"/>
    <w:rsid w:val="00527622"/>
    <w:rsid w:val="005379C5"/>
    <w:rsid w:val="005406E6"/>
    <w:rsid w:val="00547762"/>
    <w:rsid w:val="00547C4F"/>
    <w:rsid w:val="00555102"/>
    <w:rsid w:val="00556832"/>
    <w:rsid w:val="0056640F"/>
    <w:rsid w:val="00570B97"/>
    <w:rsid w:val="00572BD1"/>
    <w:rsid w:val="00573605"/>
    <w:rsid w:val="0057793A"/>
    <w:rsid w:val="00580172"/>
    <w:rsid w:val="00582650"/>
    <w:rsid w:val="005837D6"/>
    <w:rsid w:val="00583B9F"/>
    <w:rsid w:val="005A0E2F"/>
    <w:rsid w:val="005A149F"/>
    <w:rsid w:val="005B0DC3"/>
    <w:rsid w:val="005B10C4"/>
    <w:rsid w:val="005B50C1"/>
    <w:rsid w:val="005C6042"/>
    <w:rsid w:val="005C6DFF"/>
    <w:rsid w:val="005D3367"/>
    <w:rsid w:val="005D46EF"/>
    <w:rsid w:val="005E0F76"/>
    <w:rsid w:val="005E196E"/>
    <w:rsid w:val="005E4552"/>
    <w:rsid w:val="005E5F5D"/>
    <w:rsid w:val="005F03A9"/>
    <w:rsid w:val="005F4F4D"/>
    <w:rsid w:val="005F612B"/>
    <w:rsid w:val="005F63EB"/>
    <w:rsid w:val="006058C7"/>
    <w:rsid w:val="00605C8A"/>
    <w:rsid w:val="0061124F"/>
    <w:rsid w:val="00616079"/>
    <w:rsid w:val="0062654F"/>
    <w:rsid w:val="006375DB"/>
    <w:rsid w:val="006448AA"/>
    <w:rsid w:val="00646E68"/>
    <w:rsid w:val="006653C2"/>
    <w:rsid w:val="00666B10"/>
    <w:rsid w:val="00670778"/>
    <w:rsid w:val="00672B02"/>
    <w:rsid w:val="00674BB8"/>
    <w:rsid w:val="006A444C"/>
    <w:rsid w:val="006A5E2E"/>
    <w:rsid w:val="006B370E"/>
    <w:rsid w:val="006B6F9C"/>
    <w:rsid w:val="006C0C23"/>
    <w:rsid w:val="006C1DED"/>
    <w:rsid w:val="006D248C"/>
    <w:rsid w:val="006D4503"/>
    <w:rsid w:val="006D48DE"/>
    <w:rsid w:val="006E04C8"/>
    <w:rsid w:val="006E2B62"/>
    <w:rsid w:val="006E417C"/>
    <w:rsid w:val="006F425D"/>
    <w:rsid w:val="00706FB7"/>
    <w:rsid w:val="00711C24"/>
    <w:rsid w:val="00714079"/>
    <w:rsid w:val="007145AD"/>
    <w:rsid w:val="00717B24"/>
    <w:rsid w:val="00733541"/>
    <w:rsid w:val="00750770"/>
    <w:rsid w:val="0075365C"/>
    <w:rsid w:val="00754490"/>
    <w:rsid w:val="00756133"/>
    <w:rsid w:val="007564BB"/>
    <w:rsid w:val="00757C7A"/>
    <w:rsid w:val="007659B3"/>
    <w:rsid w:val="00766525"/>
    <w:rsid w:val="00770D4D"/>
    <w:rsid w:val="007724F8"/>
    <w:rsid w:val="00774728"/>
    <w:rsid w:val="007770B5"/>
    <w:rsid w:val="007778A8"/>
    <w:rsid w:val="0078399A"/>
    <w:rsid w:val="00790931"/>
    <w:rsid w:val="007932DD"/>
    <w:rsid w:val="007A3455"/>
    <w:rsid w:val="007B4394"/>
    <w:rsid w:val="007B7FC9"/>
    <w:rsid w:val="007C6702"/>
    <w:rsid w:val="007D3B77"/>
    <w:rsid w:val="007D7605"/>
    <w:rsid w:val="007E18FD"/>
    <w:rsid w:val="007E3C72"/>
    <w:rsid w:val="007E505D"/>
    <w:rsid w:val="007F37A7"/>
    <w:rsid w:val="00800933"/>
    <w:rsid w:val="008039DF"/>
    <w:rsid w:val="008061DD"/>
    <w:rsid w:val="00807132"/>
    <w:rsid w:val="00816499"/>
    <w:rsid w:val="00823232"/>
    <w:rsid w:val="00825461"/>
    <w:rsid w:val="00827D2D"/>
    <w:rsid w:val="00841D70"/>
    <w:rsid w:val="008730AD"/>
    <w:rsid w:val="00874C3E"/>
    <w:rsid w:val="00876553"/>
    <w:rsid w:val="0088049B"/>
    <w:rsid w:val="008804C9"/>
    <w:rsid w:val="00881EBB"/>
    <w:rsid w:val="0088295A"/>
    <w:rsid w:val="008829A5"/>
    <w:rsid w:val="00887B03"/>
    <w:rsid w:val="0089742B"/>
    <w:rsid w:val="008B26BF"/>
    <w:rsid w:val="008C02F7"/>
    <w:rsid w:val="008C1EDD"/>
    <w:rsid w:val="008C3256"/>
    <w:rsid w:val="008C3778"/>
    <w:rsid w:val="008C3E59"/>
    <w:rsid w:val="008D3976"/>
    <w:rsid w:val="008D5E70"/>
    <w:rsid w:val="008D7691"/>
    <w:rsid w:val="008E2DF8"/>
    <w:rsid w:val="008E3509"/>
    <w:rsid w:val="008E62D6"/>
    <w:rsid w:val="008E69DB"/>
    <w:rsid w:val="008E7B00"/>
    <w:rsid w:val="008F1402"/>
    <w:rsid w:val="008F2D12"/>
    <w:rsid w:val="00904973"/>
    <w:rsid w:val="00904BEB"/>
    <w:rsid w:val="00917442"/>
    <w:rsid w:val="009301FC"/>
    <w:rsid w:val="00931371"/>
    <w:rsid w:val="0093318D"/>
    <w:rsid w:val="00940E3B"/>
    <w:rsid w:val="009418CC"/>
    <w:rsid w:val="0095188E"/>
    <w:rsid w:val="009555B6"/>
    <w:rsid w:val="00965C1A"/>
    <w:rsid w:val="00967717"/>
    <w:rsid w:val="00970273"/>
    <w:rsid w:val="009922B8"/>
    <w:rsid w:val="00993F72"/>
    <w:rsid w:val="0099638E"/>
    <w:rsid w:val="009A3484"/>
    <w:rsid w:val="009B3098"/>
    <w:rsid w:val="009B376C"/>
    <w:rsid w:val="009C033F"/>
    <w:rsid w:val="009D4888"/>
    <w:rsid w:val="009E5E52"/>
    <w:rsid w:val="009F7563"/>
    <w:rsid w:val="00A02637"/>
    <w:rsid w:val="00A02AF8"/>
    <w:rsid w:val="00A04E53"/>
    <w:rsid w:val="00A05D2C"/>
    <w:rsid w:val="00A06417"/>
    <w:rsid w:val="00A077B6"/>
    <w:rsid w:val="00A07962"/>
    <w:rsid w:val="00A07D2E"/>
    <w:rsid w:val="00A14FE6"/>
    <w:rsid w:val="00A242E3"/>
    <w:rsid w:val="00A3192C"/>
    <w:rsid w:val="00A43360"/>
    <w:rsid w:val="00A50FA0"/>
    <w:rsid w:val="00A554EA"/>
    <w:rsid w:val="00A60D6A"/>
    <w:rsid w:val="00A62D71"/>
    <w:rsid w:val="00A66414"/>
    <w:rsid w:val="00A742F2"/>
    <w:rsid w:val="00A806B3"/>
    <w:rsid w:val="00A84BB8"/>
    <w:rsid w:val="00A85623"/>
    <w:rsid w:val="00A86595"/>
    <w:rsid w:val="00A9191C"/>
    <w:rsid w:val="00A96A1D"/>
    <w:rsid w:val="00AA3E8D"/>
    <w:rsid w:val="00AA48FF"/>
    <w:rsid w:val="00AA7B24"/>
    <w:rsid w:val="00AB22F7"/>
    <w:rsid w:val="00AB3134"/>
    <w:rsid w:val="00AB58FA"/>
    <w:rsid w:val="00AC163B"/>
    <w:rsid w:val="00AD0B3F"/>
    <w:rsid w:val="00AD5DB3"/>
    <w:rsid w:val="00AE03D6"/>
    <w:rsid w:val="00AE0D85"/>
    <w:rsid w:val="00AF16C4"/>
    <w:rsid w:val="00AF723F"/>
    <w:rsid w:val="00B00565"/>
    <w:rsid w:val="00B12B9C"/>
    <w:rsid w:val="00B20CAE"/>
    <w:rsid w:val="00B26237"/>
    <w:rsid w:val="00B4214D"/>
    <w:rsid w:val="00B769F2"/>
    <w:rsid w:val="00B77FD4"/>
    <w:rsid w:val="00B862D9"/>
    <w:rsid w:val="00B90016"/>
    <w:rsid w:val="00B9368A"/>
    <w:rsid w:val="00BA17B0"/>
    <w:rsid w:val="00BA2898"/>
    <w:rsid w:val="00BA5A77"/>
    <w:rsid w:val="00BB21C8"/>
    <w:rsid w:val="00BB2902"/>
    <w:rsid w:val="00BB49F1"/>
    <w:rsid w:val="00BB5D93"/>
    <w:rsid w:val="00BE0B68"/>
    <w:rsid w:val="00BE1C19"/>
    <w:rsid w:val="00BF4764"/>
    <w:rsid w:val="00BF5F4C"/>
    <w:rsid w:val="00C03A16"/>
    <w:rsid w:val="00C06DE8"/>
    <w:rsid w:val="00C10CD6"/>
    <w:rsid w:val="00C12356"/>
    <w:rsid w:val="00C3096E"/>
    <w:rsid w:val="00C53611"/>
    <w:rsid w:val="00C55FBA"/>
    <w:rsid w:val="00C6276C"/>
    <w:rsid w:val="00C64E98"/>
    <w:rsid w:val="00C76CEE"/>
    <w:rsid w:val="00C8034E"/>
    <w:rsid w:val="00C91275"/>
    <w:rsid w:val="00CA1350"/>
    <w:rsid w:val="00CA2052"/>
    <w:rsid w:val="00CB2276"/>
    <w:rsid w:val="00CB3696"/>
    <w:rsid w:val="00CD02AE"/>
    <w:rsid w:val="00CD3D5E"/>
    <w:rsid w:val="00CE490B"/>
    <w:rsid w:val="00CE79F7"/>
    <w:rsid w:val="00CF2A35"/>
    <w:rsid w:val="00D0010B"/>
    <w:rsid w:val="00D025F6"/>
    <w:rsid w:val="00D25330"/>
    <w:rsid w:val="00D35F3B"/>
    <w:rsid w:val="00D412B4"/>
    <w:rsid w:val="00D45A60"/>
    <w:rsid w:val="00D53B50"/>
    <w:rsid w:val="00D636D2"/>
    <w:rsid w:val="00D65F84"/>
    <w:rsid w:val="00D70C86"/>
    <w:rsid w:val="00D76961"/>
    <w:rsid w:val="00D80E50"/>
    <w:rsid w:val="00D84051"/>
    <w:rsid w:val="00D87462"/>
    <w:rsid w:val="00D93373"/>
    <w:rsid w:val="00D945EA"/>
    <w:rsid w:val="00D97727"/>
    <w:rsid w:val="00DA0084"/>
    <w:rsid w:val="00DA2A58"/>
    <w:rsid w:val="00DA6631"/>
    <w:rsid w:val="00DA7714"/>
    <w:rsid w:val="00DA7C31"/>
    <w:rsid w:val="00DD13A3"/>
    <w:rsid w:val="00DD1451"/>
    <w:rsid w:val="00DD7FFB"/>
    <w:rsid w:val="00DF1752"/>
    <w:rsid w:val="00E029FC"/>
    <w:rsid w:val="00E0502F"/>
    <w:rsid w:val="00E0752C"/>
    <w:rsid w:val="00E078E3"/>
    <w:rsid w:val="00E16F61"/>
    <w:rsid w:val="00E2739B"/>
    <w:rsid w:val="00E3165C"/>
    <w:rsid w:val="00E37328"/>
    <w:rsid w:val="00E427E9"/>
    <w:rsid w:val="00E4350A"/>
    <w:rsid w:val="00E45830"/>
    <w:rsid w:val="00E4631A"/>
    <w:rsid w:val="00E551D1"/>
    <w:rsid w:val="00E55AAF"/>
    <w:rsid w:val="00E5623F"/>
    <w:rsid w:val="00E61946"/>
    <w:rsid w:val="00E72945"/>
    <w:rsid w:val="00E8105A"/>
    <w:rsid w:val="00E84D87"/>
    <w:rsid w:val="00E9133C"/>
    <w:rsid w:val="00E943AB"/>
    <w:rsid w:val="00EA084E"/>
    <w:rsid w:val="00EA382E"/>
    <w:rsid w:val="00EA54F8"/>
    <w:rsid w:val="00EB3627"/>
    <w:rsid w:val="00EC005D"/>
    <w:rsid w:val="00EC6586"/>
    <w:rsid w:val="00ED08B3"/>
    <w:rsid w:val="00ED20C8"/>
    <w:rsid w:val="00EF1AE6"/>
    <w:rsid w:val="00F01AFF"/>
    <w:rsid w:val="00F01C2D"/>
    <w:rsid w:val="00F043AB"/>
    <w:rsid w:val="00F075CF"/>
    <w:rsid w:val="00F20186"/>
    <w:rsid w:val="00F3340D"/>
    <w:rsid w:val="00F46E9D"/>
    <w:rsid w:val="00F5207E"/>
    <w:rsid w:val="00F624FB"/>
    <w:rsid w:val="00F71789"/>
    <w:rsid w:val="00F72F34"/>
    <w:rsid w:val="00F818D1"/>
    <w:rsid w:val="00F850B0"/>
    <w:rsid w:val="00F87707"/>
    <w:rsid w:val="00FA17B8"/>
    <w:rsid w:val="00FA2EE8"/>
    <w:rsid w:val="00FB4650"/>
    <w:rsid w:val="00FC1353"/>
    <w:rsid w:val="00FC3740"/>
    <w:rsid w:val="00FE5BDE"/>
    <w:rsid w:val="00FE5E89"/>
    <w:rsid w:val="00FF020A"/>
    <w:rsid w:val="4180325E"/>
    <w:rsid w:val="7B836B50"/>
    <w:rsid w:val="7F8B0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color w:val="000000"/>
      <w:kern w:val="2"/>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pPr>
      <w:spacing w:line="240" w:lineRule="auto"/>
    </w:pPr>
    <w:rPr>
      <w:rFonts w:ascii="宋体"/>
      <w:sz w:val="18"/>
      <w:szCs w:val="18"/>
    </w:rPr>
  </w:style>
  <w:style w:type="paragraph" w:styleId="4">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5">
    <w:name w:val="footnote text"/>
    <w:basedOn w:val="1"/>
    <w:link w:val="13"/>
    <w:semiHidden/>
    <w:unhideWhenUsed/>
    <w:qFormat/>
    <w:uiPriority w:val="99"/>
    <w:pPr>
      <w:snapToGrid w:val="0"/>
      <w:jc w:val="left"/>
    </w:pPr>
    <w:rPr>
      <w:sz w:val="18"/>
      <w:szCs w:val="18"/>
    </w:rPr>
  </w:style>
  <w:style w:type="paragraph" w:styleId="6">
    <w:name w:val="annotation subject"/>
    <w:basedOn w:val="2"/>
    <w:next w:val="2"/>
    <w:link w:val="18"/>
    <w:semiHidden/>
    <w:unhideWhenUsed/>
    <w:qFormat/>
    <w:uiPriority w:val="99"/>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unhideWhenUsed/>
    <w:qFormat/>
    <w:uiPriority w:val="99"/>
  </w:style>
  <w:style w:type="character" w:styleId="11">
    <w:name w:val="annotation reference"/>
    <w:basedOn w:val="9"/>
    <w:semiHidden/>
    <w:unhideWhenUsed/>
    <w:qFormat/>
    <w:uiPriority w:val="99"/>
    <w:rPr>
      <w:sz w:val="21"/>
      <w:szCs w:val="21"/>
    </w:rPr>
  </w:style>
  <w:style w:type="character" w:styleId="12">
    <w:name w:val="footnote reference"/>
    <w:basedOn w:val="9"/>
    <w:semiHidden/>
    <w:unhideWhenUsed/>
    <w:qFormat/>
    <w:uiPriority w:val="99"/>
    <w:rPr>
      <w:vertAlign w:val="superscript"/>
    </w:rPr>
  </w:style>
  <w:style w:type="character" w:customStyle="1" w:styleId="13">
    <w:name w:val="脚注文本 字符"/>
    <w:basedOn w:val="9"/>
    <w:link w:val="5"/>
    <w:semiHidden/>
    <w:qFormat/>
    <w:uiPriority w:val="99"/>
    <w:rPr>
      <w:sz w:val="18"/>
      <w:szCs w:val="18"/>
    </w:rPr>
  </w:style>
  <w:style w:type="character" w:customStyle="1" w:styleId="14">
    <w:name w:val="页脚 字符"/>
    <w:basedOn w:val="9"/>
    <w:link w:val="4"/>
    <w:qFormat/>
    <w:uiPriority w:val="99"/>
    <w:rPr>
      <w:sz w:val="18"/>
      <w:szCs w:val="18"/>
    </w:rPr>
  </w:style>
  <w:style w:type="paragraph" w:customStyle="1" w:styleId="15">
    <w:name w:val="Revision"/>
    <w:hidden/>
    <w:semiHidden/>
    <w:qFormat/>
    <w:uiPriority w:val="99"/>
    <w:pPr>
      <w:spacing w:line="240" w:lineRule="auto"/>
      <w:ind w:firstLine="0" w:firstLineChars="0"/>
      <w:jc w:val="left"/>
    </w:pPr>
    <w:rPr>
      <w:rFonts w:ascii="Times New Roman" w:hAnsi="Times New Roman" w:eastAsia="宋体" w:cs="Times New Roman"/>
      <w:color w:val="000000"/>
      <w:kern w:val="2"/>
      <w:sz w:val="24"/>
      <w:szCs w:val="24"/>
      <w:lang w:val="en-US" w:eastAsia="zh-CN" w:bidi="ar-SA"/>
    </w:rPr>
  </w:style>
  <w:style w:type="character" w:customStyle="1" w:styleId="16">
    <w:name w:val="批注框文本 字符"/>
    <w:basedOn w:val="9"/>
    <w:link w:val="3"/>
    <w:semiHidden/>
    <w:qFormat/>
    <w:uiPriority w:val="99"/>
    <w:rPr>
      <w:rFonts w:ascii="宋体"/>
      <w:sz w:val="18"/>
      <w:szCs w:val="18"/>
    </w:rPr>
  </w:style>
  <w:style w:type="character" w:customStyle="1" w:styleId="17">
    <w:name w:val="批注文字 字符"/>
    <w:basedOn w:val="9"/>
    <w:link w:val="2"/>
    <w:semiHidden/>
    <w:qFormat/>
    <w:uiPriority w:val="99"/>
    <w:rPr>
      <w:szCs w:val="24"/>
    </w:rPr>
  </w:style>
  <w:style w:type="character" w:customStyle="1" w:styleId="18">
    <w:name w:val="批注主题 字符"/>
    <w:basedOn w:val="17"/>
    <w:link w:val="6"/>
    <w:semiHidden/>
    <w:qFormat/>
    <w:uiPriority w:val="99"/>
    <w:rPr>
      <w:b/>
      <w:bCs/>
      <w:szCs w:val="24"/>
    </w:rPr>
  </w:style>
  <w:style w:type="paragraph" w:styleId="1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63149-30C8-934F-9BB7-2E17B5C09B26}">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5192</Words>
  <Characters>5235</Characters>
  <Lines>35</Lines>
  <Paragraphs>10</Paragraphs>
  <TotalTime>2</TotalTime>
  <ScaleCrop>false</ScaleCrop>
  <LinksUpToDate>false</LinksUpToDate>
  <CharactersWithSpaces>5238</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2022-04-14T05:02:00Z</dcterms:created>
  <dc:creator>卢柏宜</dc:creator>
  <cp:lastModifiedBy>Sophia Zhang</cp:lastModifiedBy>
  <dcterms:modified xsi:type="dcterms:W3CDTF">2026-05-31T10:56:47Z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eyJoZGlkIjoiN2NiYTgwNWQxYjg5NzE2NTk1NTllOTQzOGIyNWM0MmUiLCJ1c2VySWQiOiIxNDkwNjk1NTI3In0=</vt:lpwstr>
  </property>
  <property fmtid="{D5CDD505-2E9C-101B-9397-08002B2CF9AE}" pid="3" name="KSOProductBuildVer">
    <vt:lpwstr>2052-12.1.0.22175</vt:lpwstr>
  </property>
  <property fmtid="{D5CDD505-2E9C-101B-9397-08002B2CF9AE}" pid="4" name="ICV">
    <vt:lpwstr>8C22F7EFA475473A8D1CB68A2640BFCB_13</vt:lpwstr>
  </property>
  <property fmtid="{D5CDD505-2E9C-101B-9397-08002B2CF9AE}" pid="5" name="CWM04cd9a90810c11f1800041aa000041aa">
    <vt:lpwstr>CWMXRYtIVNQQMNmDgCaEBQwq4z7S6RXWe+9uSyBRs7Jk3A0esYOvfr9Fdncqn1RCoALa+K4TTzDVKXsu5MQS7wmNQ==</vt:lpwstr>
  </property>
  <property fmtid="{D5CDD505-2E9C-101B-9397-08002B2CF9AE}" pid="6" name="fileWhereFroms">
    <vt:lpwstr>PpjeLB1gRN0lwrPqMaCTksy6fC6j85mzuLITFJ5dB92ZkJvUKbOn5wEK7u6LzonF08gdphIo0ygNyViV5C0LTlNzRxPAMG5xPZu7uC7bv0uL1Kex5PfDuKQOg5o6epURLaTi0LjsmSIJaFWi9SmBj4BXPt/KUhOY4m5mv1+wFS/WQT5dAwbNsvvFcRmZ1+E9bxVCuTHedtfAlWHpHh6zsU/7YyfdpTFxzKfC6fats9RhmuYDr5NH8EL5iEjk0A8DdeNKsIMgyuefMBeA+jyqHg==</vt:lpwstr>
  </property>
</Properties>
</file>