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A4622" w14:textId="64D9C2CD" w:rsidR="00282199" w:rsidRPr="00282199" w:rsidRDefault="00282199" w:rsidP="00282199">
      <w:pPr>
        <w:jc w:val="center"/>
        <w:rPr>
          <w:rFonts w:ascii="仿宋" w:eastAsia="仿宋" w:hAnsi="仿宋" w:hint="eastAsia"/>
          <w:b/>
          <w:bCs/>
          <w:sz w:val="28"/>
          <w:szCs w:val="28"/>
        </w:rPr>
      </w:pPr>
      <w:r w:rsidRPr="00282199">
        <w:rPr>
          <w:rFonts w:ascii="仿宋" w:eastAsia="仿宋" w:hAnsi="仿宋" w:hint="eastAsia"/>
          <w:b/>
          <w:bCs/>
          <w:sz w:val="28"/>
          <w:szCs w:val="28"/>
        </w:rPr>
        <w:t>专业指引</w:t>
      </w:r>
    </w:p>
    <w:p w14:paraId="214D24C5" w14:textId="7B754162" w:rsidR="00282199" w:rsidRPr="00282199" w:rsidRDefault="00282199" w:rsidP="00282199">
      <w:pPr>
        <w:jc w:val="center"/>
        <w:rPr>
          <w:rFonts w:ascii="仿宋" w:eastAsia="仿宋" w:hAnsi="仿宋" w:hint="eastAsia"/>
          <w:b/>
          <w:bCs/>
          <w:sz w:val="28"/>
          <w:szCs w:val="28"/>
        </w:rPr>
      </w:pPr>
      <w:r w:rsidRPr="00282199">
        <w:rPr>
          <w:rFonts w:ascii="仿宋" w:eastAsia="仿宋" w:hAnsi="仿宋"/>
          <w:b/>
          <w:bCs/>
          <w:sz w:val="28"/>
          <w:szCs w:val="28"/>
        </w:rPr>
        <w:t>高净值人群海外存款涉税合</w:t>
      </w:r>
      <w:proofErr w:type="gramStart"/>
      <w:r w:rsidRPr="00282199">
        <w:rPr>
          <w:rFonts w:ascii="仿宋" w:eastAsia="仿宋" w:hAnsi="仿宋"/>
          <w:b/>
          <w:bCs/>
          <w:sz w:val="28"/>
          <w:szCs w:val="28"/>
        </w:rPr>
        <w:t>规</w:t>
      </w:r>
      <w:proofErr w:type="gramEnd"/>
      <w:r w:rsidRPr="00282199">
        <w:rPr>
          <w:rFonts w:ascii="仿宋" w:eastAsia="仿宋" w:hAnsi="仿宋"/>
          <w:b/>
          <w:bCs/>
          <w:sz w:val="28"/>
          <w:szCs w:val="28"/>
        </w:rPr>
        <w:t>指引</w:t>
      </w:r>
    </w:p>
    <w:p w14:paraId="44B40D0E" w14:textId="77777777" w:rsidR="00282199" w:rsidRPr="00282199" w:rsidRDefault="00282199" w:rsidP="003752A2">
      <w:pPr>
        <w:jc w:val="center"/>
        <w:rPr>
          <w:rFonts w:ascii="仿宋" w:eastAsia="仿宋" w:hAnsi="仿宋" w:hint="eastAsia"/>
          <w:sz w:val="24"/>
          <w:szCs w:val="24"/>
        </w:rPr>
      </w:pPr>
      <w:r w:rsidRPr="00282199">
        <w:rPr>
          <w:rFonts w:ascii="仿宋" w:eastAsia="仿宋" w:hAnsi="仿宋" w:hint="eastAsia"/>
          <w:sz w:val="24"/>
          <w:szCs w:val="24"/>
        </w:rPr>
        <w:t>作者单位：上海锦天城律师事务所</w:t>
      </w:r>
    </w:p>
    <w:p w14:paraId="278865B2" w14:textId="4C16EF53" w:rsidR="00282199" w:rsidRPr="00282199" w:rsidRDefault="006023B4" w:rsidP="003752A2">
      <w:pPr>
        <w:jc w:val="center"/>
        <w:rPr>
          <w:rFonts w:ascii="仿宋" w:eastAsia="仿宋" w:hAnsi="仿宋" w:hint="eastAsia"/>
          <w:sz w:val="24"/>
          <w:szCs w:val="24"/>
        </w:rPr>
      </w:pPr>
      <w:r>
        <w:rPr>
          <w:rFonts w:ascii="仿宋" w:eastAsia="仿宋" w:hAnsi="仿宋" w:hint="eastAsia"/>
          <w:sz w:val="24"/>
          <w:szCs w:val="24"/>
        </w:rPr>
        <w:t xml:space="preserve"> </w:t>
      </w:r>
      <w:r w:rsidR="00282199" w:rsidRPr="00282199">
        <w:rPr>
          <w:rFonts w:ascii="仿宋" w:eastAsia="仿宋" w:hAnsi="仿宋" w:hint="eastAsia"/>
          <w:sz w:val="24"/>
          <w:szCs w:val="24"/>
        </w:rPr>
        <w:t>作者：</w:t>
      </w:r>
      <w:r w:rsidR="00282199" w:rsidRPr="00282199">
        <w:rPr>
          <w:rFonts w:ascii="仿宋" w:eastAsia="仿宋" w:hAnsi="仿宋"/>
          <w:sz w:val="24"/>
          <w:szCs w:val="24"/>
        </w:rPr>
        <w:t>全开明 洪一帆</w:t>
      </w:r>
      <w:r w:rsidR="00282199" w:rsidRPr="00282199">
        <w:rPr>
          <w:rFonts w:ascii="仿宋" w:eastAsia="仿宋" w:hAnsi="仿宋" w:hint="eastAsia"/>
          <w:sz w:val="24"/>
          <w:szCs w:val="24"/>
        </w:rPr>
        <w:t xml:space="preserve"> </w:t>
      </w:r>
      <w:r w:rsidR="00282199" w:rsidRPr="00282199">
        <w:rPr>
          <w:rFonts w:ascii="仿宋" w:eastAsia="仿宋" w:hAnsi="仿宋"/>
          <w:sz w:val="24"/>
          <w:szCs w:val="24"/>
        </w:rPr>
        <w:t>袁苇 谢美山</w:t>
      </w:r>
    </w:p>
    <w:p w14:paraId="6B6D3F89" w14:textId="3B2C1E2E" w:rsidR="00282199" w:rsidRPr="00282199" w:rsidRDefault="00282199" w:rsidP="00282199">
      <w:pPr>
        <w:rPr>
          <w:rFonts w:ascii="仿宋" w:eastAsia="仿宋" w:hAnsi="仿宋" w:hint="eastAsia"/>
          <w:sz w:val="24"/>
          <w:szCs w:val="24"/>
        </w:rPr>
      </w:pPr>
    </w:p>
    <w:p w14:paraId="2D63DB07" w14:textId="65822CF3" w:rsidR="00282199" w:rsidRPr="00282199" w:rsidRDefault="00282199" w:rsidP="00282199">
      <w:pPr>
        <w:rPr>
          <w:rFonts w:ascii="仿宋" w:eastAsia="仿宋" w:hAnsi="仿宋" w:hint="eastAsia"/>
          <w:sz w:val="24"/>
          <w:szCs w:val="24"/>
        </w:rPr>
      </w:pPr>
    </w:p>
    <w:p w14:paraId="6C495864" w14:textId="39871AC4" w:rsidR="00282199" w:rsidRPr="00282199" w:rsidRDefault="00282199" w:rsidP="00282199">
      <w:pPr>
        <w:rPr>
          <w:rFonts w:ascii="仿宋" w:eastAsia="仿宋" w:hAnsi="仿宋" w:hint="eastAsia"/>
          <w:sz w:val="24"/>
          <w:szCs w:val="24"/>
        </w:rPr>
      </w:pPr>
      <w:r w:rsidRPr="003752A2">
        <w:rPr>
          <w:rFonts w:ascii="仿宋" w:eastAsia="仿宋" w:hAnsi="仿宋"/>
          <w:b/>
          <w:bCs/>
          <w:sz w:val="24"/>
          <w:szCs w:val="24"/>
        </w:rPr>
        <w:t>摘要</w:t>
      </w:r>
      <w:r w:rsidR="003752A2" w:rsidRPr="003752A2">
        <w:rPr>
          <w:rFonts w:ascii="仿宋" w:eastAsia="仿宋" w:hAnsi="仿宋" w:hint="eastAsia"/>
          <w:b/>
          <w:bCs/>
          <w:sz w:val="24"/>
          <w:szCs w:val="24"/>
        </w:rPr>
        <w:t>：</w:t>
      </w:r>
      <w:r w:rsidRPr="00282199">
        <w:rPr>
          <w:rFonts w:ascii="仿宋" w:eastAsia="仿宋" w:hAnsi="仿宋"/>
          <w:sz w:val="24"/>
          <w:szCs w:val="24"/>
        </w:rPr>
        <w:t>本文梳理了高净值人群与海外金融账户的基础理论内容，解析了CRS和SWIFT双监管机制下的补税、罚款等涉税风险，通过对比以上监管要求，提出“自查—规划—重构—跟踪”的合</w:t>
      </w:r>
      <w:proofErr w:type="gramStart"/>
      <w:r w:rsidRPr="00282199">
        <w:rPr>
          <w:rFonts w:ascii="仿宋" w:eastAsia="仿宋" w:hAnsi="仿宋"/>
          <w:sz w:val="24"/>
          <w:szCs w:val="24"/>
        </w:rPr>
        <w:t>规</w:t>
      </w:r>
      <w:proofErr w:type="gramEnd"/>
      <w:r w:rsidRPr="00282199">
        <w:rPr>
          <w:rFonts w:ascii="仿宋" w:eastAsia="仿宋" w:hAnsi="仿宋"/>
          <w:sz w:val="24"/>
          <w:szCs w:val="24"/>
        </w:rPr>
        <w:t>规划策略建议，从而使得高净值人群充分运用税收协定、有效配置个人资产，构建动态合</w:t>
      </w:r>
      <w:proofErr w:type="gramStart"/>
      <w:r w:rsidRPr="00282199">
        <w:rPr>
          <w:rFonts w:ascii="仿宋" w:eastAsia="仿宋" w:hAnsi="仿宋"/>
          <w:sz w:val="24"/>
          <w:szCs w:val="24"/>
        </w:rPr>
        <w:t>规</w:t>
      </w:r>
      <w:proofErr w:type="gramEnd"/>
      <w:r w:rsidRPr="00282199">
        <w:rPr>
          <w:rFonts w:ascii="仿宋" w:eastAsia="仿宋" w:hAnsi="仿宋"/>
          <w:sz w:val="24"/>
          <w:szCs w:val="24"/>
        </w:rPr>
        <w:t>机制，从容应对税务透明化时代下的风险挑战，实现“双赢”的局面。</w:t>
      </w:r>
      <w:r w:rsidRPr="00282199">
        <w:rPr>
          <w:rFonts w:ascii="仿宋" w:eastAsia="仿宋" w:hAnsi="仿宋"/>
          <w:sz w:val="24"/>
          <w:szCs w:val="24"/>
        </w:rPr>
        <w:br/>
      </w:r>
    </w:p>
    <w:p w14:paraId="6E72E076" w14:textId="28EA2480" w:rsidR="00282199" w:rsidRPr="00282199" w:rsidRDefault="00282199" w:rsidP="00282199">
      <w:pPr>
        <w:rPr>
          <w:rFonts w:ascii="仿宋" w:eastAsia="仿宋" w:hAnsi="仿宋" w:hint="eastAsia"/>
          <w:sz w:val="24"/>
          <w:szCs w:val="24"/>
        </w:rPr>
      </w:pPr>
      <w:r w:rsidRPr="00282199">
        <w:rPr>
          <w:rFonts w:ascii="仿宋" w:eastAsia="仿宋" w:hAnsi="仿宋"/>
          <w:b/>
          <w:bCs/>
          <w:sz w:val="24"/>
          <w:szCs w:val="24"/>
        </w:rPr>
        <w:t>关键词</w:t>
      </w:r>
      <w:r w:rsidR="003752A2">
        <w:rPr>
          <w:rFonts w:ascii="仿宋" w:eastAsia="仿宋" w:hAnsi="仿宋" w:hint="eastAsia"/>
          <w:b/>
          <w:bCs/>
          <w:sz w:val="24"/>
          <w:szCs w:val="24"/>
        </w:rPr>
        <w:t>：</w:t>
      </w:r>
      <w:r w:rsidRPr="00282199">
        <w:rPr>
          <w:rFonts w:ascii="仿宋" w:eastAsia="仿宋" w:hAnsi="仿宋"/>
          <w:b/>
          <w:bCs/>
          <w:sz w:val="24"/>
          <w:szCs w:val="24"/>
        </w:rPr>
        <w:t>高净值人群 海外金融账户 CRS 跨境资产配置 SWIFT</w:t>
      </w:r>
      <w:r w:rsidRPr="00282199">
        <w:rPr>
          <w:rFonts w:ascii="仿宋" w:eastAsia="仿宋" w:hAnsi="仿宋"/>
          <w:sz w:val="24"/>
          <w:szCs w:val="24"/>
        </w:rPr>
        <w:br/>
      </w:r>
    </w:p>
    <w:p w14:paraId="2A341DB3" w14:textId="0F1AA9FF" w:rsidR="00282199" w:rsidRPr="00282199" w:rsidRDefault="00282199" w:rsidP="00282199">
      <w:pPr>
        <w:rPr>
          <w:rFonts w:ascii="仿宋" w:eastAsia="仿宋" w:hAnsi="仿宋" w:hint="eastAsia"/>
          <w:sz w:val="24"/>
          <w:szCs w:val="24"/>
        </w:rPr>
      </w:pPr>
      <w:r w:rsidRPr="00282199">
        <w:rPr>
          <w:rFonts w:ascii="仿宋" w:eastAsia="仿宋" w:hAnsi="仿宋"/>
          <w:b/>
          <w:bCs/>
          <w:sz w:val="24"/>
          <w:szCs w:val="24"/>
        </w:rPr>
        <w:t>一、引言：高净值人群海外存款涉税为何“透明化”？</w:t>
      </w:r>
      <w:r w:rsidRPr="00282199">
        <w:rPr>
          <w:rFonts w:ascii="仿宋" w:eastAsia="仿宋" w:hAnsi="仿宋"/>
          <w:sz w:val="24"/>
          <w:szCs w:val="24"/>
        </w:rPr>
        <w:br/>
      </w:r>
    </w:p>
    <w:p w14:paraId="193D10CD" w14:textId="2E672D0B"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2025年3月26日起，由浙江、上海、山东、湖北4地税务局联合稽查，稽查结果分别如下：浙江某纳税人不申报境外收入，补缴税款及滞纳金12.72万元；上海某纳税人不申报缴纳个人所得税取得境外所得，补缴税款及滞纳金18.48万元；山东被稽查者补税金额高达126.38万元；湖北被稽查者补缴税款金额高达141.3万元。</w:t>
      </w:r>
    </w:p>
    <w:p w14:paraId="427800FE" w14:textId="41FF9883"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在跨境资本流动数据化时代，企业家、投资人等“高净值人士”的境外资产面临着两个“监管测试”：一是CRS下金融账户涉税信息数据采集交换的自动化，各国税务机关监管离岸资产敏感性增加；二是SWIFT升级下资金链路全流程可追溯，传统跨境资金运作的操作合</w:t>
      </w:r>
      <w:proofErr w:type="gramStart"/>
      <w:r w:rsidRPr="00282199">
        <w:rPr>
          <w:rFonts w:ascii="仿宋" w:eastAsia="仿宋" w:hAnsi="仿宋"/>
          <w:sz w:val="24"/>
          <w:szCs w:val="24"/>
        </w:rPr>
        <w:t>规</w:t>
      </w:r>
      <w:proofErr w:type="gramEnd"/>
      <w:r w:rsidRPr="00282199">
        <w:rPr>
          <w:rFonts w:ascii="仿宋" w:eastAsia="仿宋" w:hAnsi="仿宋"/>
          <w:sz w:val="24"/>
          <w:szCs w:val="24"/>
        </w:rPr>
        <w:t>风险激增。二者构成对海外资产的“透明化围猎”。</w:t>
      </w:r>
    </w:p>
    <w:p w14:paraId="51E35EF5" w14:textId="35FB2A29"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我国于2014年9月已经宣布采用CRS，并于2018年9月交换了第一笔涵盖开</w:t>
      </w:r>
      <w:proofErr w:type="gramStart"/>
      <w:r w:rsidRPr="00282199">
        <w:rPr>
          <w:rFonts w:ascii="仿宋" w:eastAsia="仿宋" w:hAnsi="仿宋"/>
          <w:sz w:val="24"/>
          <w:szCs w:val="24"/>
        </w:rPr>
        <w:t>曼</w:t>
      </w:r>
      <w:proofErr w:type="gramEnd"/>
      <w:r w:rsidRPr="00282199">
        <w:rPr>
          <w:rFonts w:ascii="仿宋" w:eastAsia="仿宋" w:hAnsi="仿宋"/>
          <w:sz w:val="24"/>
          <w:szCs w:val="24"/>
        </w:rPr>
        <w:t>、</w:t>
      </w:r>
      <w:proofErr w:type="gramStart"/>
      <w:r w:rsidRPr="00282199">
        <w:rPr>
          <w:rFonts w:ascii="仿宋" w:eastAsia="仿宋" w:hAnsi="仿宋"/>
          <w:sz w:val="24"/>
          <w:szCs w:val="24"/>
        </w:rPr>
        <w:t>英属维尔</w:t>
      </w:r>
      <w:proofErr w:type="gramEnd"/>
      <w:r w:rsidRPr="00282199">
        <w:rPr>
          <w:rFonts w:ascii="仿宋" w:eastAsia="仿宋" w:hAnsi="仿宋"/>
          <w:sz w:val="24"/>
          <w:szCs w:val="24"/>
        </w:rPr>
        <w:t>京等主要离岸金融中心和英国、法国、德国、瑞士、新加坡等主要国家和地区的金融账户涉税信息，CRS自动获取纳税人海外账户收支状况和投资收益情况，SWIFT则自动获取纳税人的跨境资金流动信息。</w:t>
      </w:r>
    </w:p>
    <w:p w14:paraId="24B808C4" w14:textId="64E00D2C"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基于此，本文将介绍银行存款、证券投资、保险产品和信托架构该四类常见的海外账户的监管风险，主要围绕CRS申报风险及税收居民身份冲突风险等进行归纳总结，最终提出阶梯式合</w:t>
      </w:r>
      <w:proofErr w:type="gramStart"/>
      <w:r w:rsidRPr="00282199">
        <w:rPr>
          <w:rFonts w:ascii="仿宋" w:eastAsia="仿宋" w:hAnsi="仿宋"/>
          <w:sz w:val="24"/>
          <w:szCs w:val="24"/>
        </w:rPr>
        <w:t>规</w:t>
      </w:r>
      <w:proofErr w:type="gramEnd"/>
      <w:r w:rsidRPr="00282199">
        <w:rPr>
          <w:rFonts w:ascii="仿宋" w:eastAsia="仿宋" w:hAnsi="仿宋"/>
          <w:sz w:val="24"/>
          <w:szCs w:val="24"/>
        </w:rPr>
        <w:t>解决方案，以此帮助高净值人群在税务透明化时代重构资产保护体系，实现跨境财富的安全传承。</w:t>
      </w:r>
    </w:p>
    <w:p w14:paraId="67EE186B" w14:textId="28252465" w:rsidR="00282199" w:rsidRPr="00282199" w:rsidRDefault="00282199" w:rsidP="00282199">
      <w:pPr>
        <w:rPr>
          <w:rFonts w:ascii="仿宋" w:eastAsia="仿宋" w:hAnsi="仿宋" w:hint="eastAsia"/>
          <w:sz w:val="24"/>
          <w:szCs w:val="24"/>
        </w:rPr>
      </w:pPr>
      <w:r w:rsidRPr="00282199">
        <w:rPr>
          <w:rFonts w:ascii="仿宋" w:eastAsia="仿宋" w:hAnsi="仿宋"/>
          <w:b/>
          <w:bCs/>
          <w:sz w:val="24"/>
          <w:szCs w:val="24"/>
        </w:rPr>
        <w:t>二、高净值人群海外金融账户</w:t>
      </w:r>
      <w:r w:rsidRPr="00282199">
        <w:rPr>
          <w:rFonts w:ascii="仿宋" w:eastAsia="仿宋" w:hAnsi="仿宋"/>
          <w:sz w:val="24"/>
          <w:szCs w:val="24"/>
        </w:rPr>
        <w:br/>
      </w:r>
    </w:p>
    <w:p w14:paraId="087362F0" w14:textId="33F1F568" w:rsidR="00282199" w:rsidRPr="00282199" w:rsidRDefault="00282199" w:rsidP="00282199">
      <w:pPr>
        <w:rPr>
          <w:rFonts w:ascii="仿宋" w:eastAsia="仿宋" w:hAnsi="仿宋" w:hint="eastAsia"/>
          <w:sz w:val="24"/>
          <w:szCs w:val="24"/>
        </w:rPr>
      </w:pPr>
      <w:r w:rsidRPr="00282199">
        <w:rPr>
          <w:rFonts w:ascii="仿宋" w:eastAsia="仿宋" w:hAnsi="仿宋"/>
          <w:b/>
          <w:bCs/>
          <w:sz w:val="24"/>
          <w:szCs w:val="24"/>
        </w:rPr>
        <w:t>（一）高净值人群的定义</w:t>
      </w:r>
      <w:r w:rsidRPr="00282199">
        <w:rPr>
          <w:rFonts w:ascii="仿宋" w:eastAsia="仿宋" w:hAnsi="仿宋"/>
          <w:b/>
          <w:bCs/>
          <w:sz w:val="24"/>
          <w:szCs w:val="24"/>
        </w:rPr>
        <w:br/>
      </w:r>
    </w:p>
    <w:p w14:paraId="26B40BE7" w14:textId="646071E4"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高净值人群(High-net-worth Individuals,简称HNWI)通常指的是那些资产净值较高的人群。高净值人士被界定为应用范围最为广泛的“高净值人群”，是指直接和通过信托和其他受控实体的净资产总计至少等于100万美元（约等于人民币约720万元人民币），是全球金融组织用来界定财富管理和私人银行服务客</w:t>
      </w:r>
      <w:r w:rsidRPr="00282199">
        <w:rPr>
          <w:rFonts w:ascii="仿宋" w:eastAsia="仿宋" w:hAnsi="仿宋"/>
          <w:sz w:val="24"/>
          <w:szCs w:val="24"/>
        </w:rPr>
        <w:lastRenderedPageBreak/>
        <w:t>户的划分方式。此后，人们通常认定其为资产净值在1000万元人民币资产以上的个人，是金融资产和投资性房产等可投资资产较高的社会群体。</w:t>
      </w:r>
      <w:r w:rsidRPr="00282199">
        <w:rPr>
          <w:rFonts w:ascii="仿宋" w:eastAsia="仿宋" w:hAnsi="仿宋"/>
          <w:sz w:val="24"/>
          <w:szCs w:val="24"/>
        </w:rPr>
        <w:br/>
      </w:r>
    </w:p>
    <w:p w14:paraId="0A37B18B" w14:textId="62FE333C" w:rsidR="00282199" w:rsidRPr="00282199" w:rsidRDefault="00282199" w:rsidP="00282199">
      <w:pPr>
        <w:rPr>
          <w:rFonts w:ascii="仿宋" w:eastAsia="仿宋" w:hAnsi="仿宋" w:hint="eastAsia"/>
          <w:sz w:val="24"/>
          <w:szCs w:val="24"/>
        </w:rPr>
      </w:pPr>
      <w:r w:rsidRPr="00282199">
        <w:rPr>
          <w:rFonts w:ascii="仿宋" w:eastAsia="仿宋" w:hAnsi="仿宋"/>
          <w:b/>
          <w:bCs/>
          <w:sz w:val="24"/>
          <w:szCs w:val="24"/>
        </w:rPr>
        <w:t>（二）中国高净值人群的特征</w:t>
      </w:r>
      <w:r w:rsidRPr="00282199">
        <w:rPr>
          <w:rFonts w:ascii="仿宋" w:eastAsia="仿宋" w:hAnsi="仿宋"/>
          <w:b/>
          <w:bCs/>
          <w:sz w:val="24"/>
          <w:szCs w:val="24"/>
        </w:rPr>
        <w:br/>
      </w:r>
    </w:p>
    <w:p w14:paraId="2180D543" w14:textId="4D0064DB" w:rsidR="00282199" w:rsidRPr="00282199" w:rsidRDefault="00282199" w:rsidP="00282199">
      <w:pPr>
        <w:rPr>
          <w:rFonts w:ascii="仿宋" w:eastAsia="仿宋" w:hAnsi="仿宋" w:hint="eastAsia"/>
          <w:sz w:val="24"/>
          <w:szCs w:val="24"/>
        </w:rPr>
      </w:pPr>
      <w:r w:rsidRPr="00282199">
        <w:rPr>
          <w:rFonts w:ascii="仿宋" w:eastAsia="仿宋" w:hAnsi="仿宋"/>
          <w:sz w:val="24"/>
          <w:szCs w:val="24"/>
        </w:rPr>
        <w:t>1.资产结构多元化趋势显著</w:t>
      </w:r>
      <w:r w:rsidRPr="00282199">
        <w:rPr>
          <w:rFonts w:ascii="仿宋" w:eastAsia="仿宋" w:hAnsi="仿宋"/>
          <w:sz w:val="24"/>
          <w:szCs w:val="24"/>
        </w:rPr>
        <w:br/>
      </w:r>
    </w:p>
    <w:p w14:paraId="2C1844BE" w14:textId="2329FA28"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近年来中国高净值人群资产结构趋向多元化，股票、基金、房产等已不再是他们的“最爱”，海外投资、收藏甚至私</w:t>
      </w:r>
      <w:proofErr w:type="gramStart"/>
      <w:r w:rsidRPr="00282199">
        <w:rPr>
          <w:rFonts w:ascii="仿宋" w:eastAsia="仿宋" w:hAnsi="仿宋"/>
          <w:sz w:val="24"/>
          <w:szCs w:val="24"/>
        </w:rPr>
        <w:t>募股权</w:t>
      </w:r>
      <w:proofErr w:type="gramEnd"/>
      <w:r w:rsidRPr="00282199">
        <w:rPr>
          <w:rFonts w:ascii="仿宋" w:eastAsia="仿宋" w:hAnsi="仿宋"/>
          <w:sz w:val="24"/>
          <w:szCs w:val="24"/>
        </w:rPr>
        <w:t>都成为高净值人群最近几年资产配置的新潮流。此种变化与CRS的推进不无关联，一大批高净值人群都在考虑资产结构应当如何调整和变化：从最开始对金融账户的偏好，到海外房产、黄金、艺术品等“非金融资产”。胡润研究院的上一年报告显示，黄金成为高净值人群的“新宠儿”，而房地产投资明显在降温；此外，大额保单等保险类资产配置也明显增加。上述变化反映出随着CRS制度、反洗钱规则的修订和完善，高净值人群也更加注重自身资产及其税务计划的长期可持续安排。</w:t>
      </w:r>
      <w:r w:rsidRPr="00282199">
        <w:rPr>
          <w:rFonts w:ascii="仿宋" w:eastAsia="仿宋" w:hAnsi="仿宋"/>
          <w:sz w:val="24"/>
          <w:szCs w:val="24"/>
        </w:rPr>
        <w:br/>
      </w:r>
    </w:p>
    <w:p w14:paraId="5D036778" w14:textId="1C6E86C8" w:rsidR="00282199" w:rsidRPr="00282199" w:rsidRDefault="00282199" w:rsidP="00282199">
      <w:pPr>
        <w:rPr>
          <w:rFonts w:ascii="仿宋" w:eastAsia="仿宋" w:hAnsi="仿宋" w:hint="eastAsia"/>
          <w:sz w:val="24"/>
          <w:szCs w:val="24"/>
        </w:rPr>
      </w:pPr>
      <w:r w:rsidRPr="00282199">
        <w:rPr>
          <w:rFonts w:ascii="仿宋" w:eastAsia="仿宋" w:hAnsi="仿宋"/>
          <w:sz w:val="24"/>
          <w:szCs w:val="24"/>
        </w:rPr>
        <w:t>2. 跨境金融属性突出</w:t>
      </w:r>
      <w:r w:rsidRPr="00282199">
        <w:rPr>
          <w:rFonts w:ascii="仿宋" w:eastAsia="仿宋" w:hAnsi="仿宋"/>
          <w:sz w:val="24"/>
          <w:szCs w:val="24"/>
        </w:rPr>
        <w:br/>
      </w:r>
    </w:p>
    <w:p w14:paraId="6F5A74D3" w14:textId="57356D9D"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根据大数据初步检索，不少高净值人士至少有2～3个开立于中国香港、新加坡、美国等金融中心的境外账户，84%的高净值人士有跨境的股息、租金、信托等境外收入，以股票、外汇、境外保险及房产为主，境外资产比例约占可投资资产的六分之一。但是，CRS与SWIFT的双剑出鞘后，越来越多的高净值人士选择离岸信托、保险金信托，持续规划税务结构，降低金融账户信息跨境交换的“被曝光度”。</w:t>
      </w:r>
      <w:r w:rsidRPr="00282199">
        <w:rPr>
          <w:rFonts w:ascii="仿宋" w:eastAsia="仿宋" w:hAnsi="仿宋"/>
          <w:sz w:val="24"/>
          <w:szCs w:val="24"/>
        </w:rPr>
        <w:br/>
      </w:r>
    </w:p>
    <w:p w14:paraId="5C12B6C9" w14:textId="76047D98" w:rsidR="00282199" w:rsidRPr="00282199" w:rsidRDefault="00282199" w:rsidP="00282199">
      <w:pPr>
        <w:rPr>
          <w:rFonts w:ascii="仿宋" w:eastAsia="仿宋" w:hAnsi="仿宋" w:hint="eastAsia"/>
          <w:sz w:val="24"/>
          <w:szCs w:val="24"/>
        </w:rPr>
      </w:pPr>
      <w:r w:rsidRPr="00282199">
        <w:rPr>
          <w:rFonts w:ascii="仿宋" w:eastAsia="仿宋" w:hAnsi="仿宋"/>
          <w:sz w:val="24"/>
          <w:szCs w:val="24"/>
        </w:rPr>
        <w:t>3. 税务身份趋向合</w:t>
      </w:r>
      <w:proofErr w:type="gramStart"/>
      <w:r w:rsidRPr="00282199">
        <w:rPr>
          <w:rFonts w:ascii="仿宋" w:eastAsia="仿宋" w:hAnsi="仿宋"/>
          <w:sz w:val="24"/>
          <w:szCs w:val="24"/>
        </w:rPr>
        <w:t>规化</w:t>
      </w:r>
      <w:proofErr w:type="gramEnd"/>
      <w:r w:rsidRPr="00282199">
        <w:rPr>
          <w:rFonts w:ascii="仿宋" w:eastAsia="仿宋" w:hAnsi="仿宋"/>
          <w:sz w:val="24"/>
          <w:szCs w:val="24"/>
        </w:rPr>
        <w:br/>
      </w:r>
    </w:p>
    <w:p w14:paraId="3EF0CFDF" w14:textId="25531A18"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高净值人士的税收居民身份显现出越来越明显的“多重化”趋势。在常见的组合形式中，两种税务身份类型比较典型：</w:t>
      </w:r>
    </w:p>
    <w:p w14:paraId="3763729B" w14:textId="77777777"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其一，“中国税务居民+第二国永居”。此类人群在享受第二国永居身份带来的便利的同时，也面临复杂的税务环境，一方面其须遵守中国税法，对来自全国范围内的收入及资产进行纳税申报；另一方面，第二国（移民国）亦可能对其在当地境内的经济活动或者资产持有征收相应的税款。如若不及时申报或申报信息存在瑕疵，在CRS报数时，其未申报的境外资产和收入信息将被交换至中国税务机关，引发国内的税务稽查，导致税款补缴、滞纳金以及罚款等风险，严重者则会触犯刑法。</w:t>
      </w:r>
    </w:p>
    <w:p w14:paraId="48CEA4B1" w14:textId="6D84EA1F" w:rsid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其二，“美国绿卡+离岸架构”。美国FATCA（海外账户税收合</w:t>
      </w:r>
      <w:proofErr w:type="gramStart"/>
      <w:r w:rsidRPr="00282199">
        <w:rPr>
          <w:rFonts w:ascii="仿宋" w:eastAsia="仿宋" w:hAnsi="仿宋"/>
          <w:sz w:val="24"/>
          <w:szCs w:val="24"/>
        </w:rPr>
        <w:t>规</w:t>
      </w:r>
      <w:proofErr w:type="gramEnd"/>
      <w:r w:rsidRPr="00282199">
        <w:rPr>
          <w:rFonts w:ascii="仿宋" w:eastAsia="仿宋" w:hAnsi="仿宋"/>
          <w:sz w:val="24"/>
          <w:szCs w:val="24"/>
        </w:rPr>
        <w:t>法案）对绿卡持有者实施严格税务监管，要求其无论身处何地，均需如实申报全球资产，包括在离岸金融中心（英属维尔京群岛BVI、开曼群岛等）设立架构中的资产与收入。近年来，随着CORS（《关于实施金融账户涉税信息自动交换标准的管理办法》）和FATCA的共同作用，离岸架构的税务透明度大幅提升，即使该架构在形式上符合BVI、开</w:t>
      </w:r>
      <w:proofErr w:type="gramStart"/>
      <w:r w:rsidRPr="00282199">
        <w:rPr>
          <w:rFonts w:ascii="仿宋" w:eastAsia="仿宋" w:hAnsi="仿宋"/>
          <w:sz w:val="24"/>
          <w:szCs w:val="24"/>
        </w:rPr>
        <w:t>曼</w:t>
      </w:r>
      <w:proofErr w:type="gramEnd"/>
      <w:r w:rsidRPr="00282199">
        <w:rPr>
          <w:rFonts w:ascii="仿宋" w:eastAsia="仿宋" w:hAnsi="仿宋"/>
          <w:sz w:val="24"/>
          <w:szCs w:val="24"/>
        </w:rPr>
        <w:t>等地的法律规定，也不能成为规避美国税务申报的“避风港”。因此，即使通过打该种税务身份之组合拳，其风险亦显著高于往昔，若税务机关发现存在申报不实或者隐瞒资产等行为，主体或将面临美国国税局的高额罚款及刑</w:t>
      </w:r>
      <w:r w:rsidRPr="00282199">
        <w:rPr>
          <w:rFonts w:ascii="仿宋" w:eastAsia="仿宋" w:hAnsi="仿宋"/>
          <w:sz w:val="24"/>
          <w:szCs w:val="24"/>
        </w:rPr>
        <w:lastRenderedPageBreak/>
        <w:t>事指控，与此同时离岸架构项下的资产也存在冻结或追缴之可能。</w:t>
      </w:r>
    </w:p>
    <w:p w14:paraId="414BF593" w14:textId="77777777" w:rsidR="003752A2" w:rsidRPr="00282199" w:rsidRDefault="003752A2" w:rsidP="003752A2">
      <w:pPr>
        <w:ind w:firstLineChars="200" w:firstLine="480"/>
        <w:rPr>
          <w:rFonts w:ascii="仿宋" w:eastAsia="仿宋" w:hAnsi="仿宋" w:hint="eastAsia"/>
          <w:sz w:val="24"/>
          <w:szCs w:val="24"/>
        </w:rPr>
      </w:pPr>
    </w:p>
    <w:p w14:paraId="6609D9B7" w14:textId="1A18D548" w:rsidR="00282199" w:rsidRPr="00282199" w:rsidRDefault="00282199" w:rsidP="00282199">
      <w:pPr>
        <w:rPr>
          <w:rFonts w:ascii="仿宋" w:eastAsia="仿宋" w:hAnsi="仿宋" w:hint="eastAsia"/>
          <w:sz w:val="24"/>
          <w:szCs w:val="24"/>
        </w:rPr>
      </w:pPr>
      <w:r w:rsidRPr="00282199">
        <w:rPr>
          <w:rFonts w:ascii="仿宋" w:eastAsia="仿宋" w:hAnsi="仿宋"/>
          <w:sz w:val="24"/>
          <w:szCs w:val="24"/>
        </w:rPr>
        <w:t>4.财富传承需求突出</w:t>
      </w:r>
      <w:r w:rsidRPr="00282199">
        <w:rPr>
          <w:rFonts w:ascii="仿宋" w:eastAsia="仿宋" w:hAnsi="仿宋"/>
          <w:sz w:val="24"/>
          <w:szCs w:val="24"/>
        </w:rPr>
        <w:br/>
      </w:r>
    </w:p>
    <w:p w14:paraId="3DCCA1ED" w14:textId="45BAEC92"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目前，中国高净值人群的财富管理和传承呈现出两大趋势：其一，约七成高净值人群选择设立或预备设立家族信托模式。然而，在境内设立家族信托的税务成本相对较高，约为5%～45%，而离岸信托的税务成本则相对较低，仅为0%～20%。因此，若采取前者安排，则更加注重专业服务机构的专业能力，从而在合</w:t>
      </w:r>
      <w:proofErr w:type="gramStart"/>
      <w:r w:rsidRPr="00282199">
        <w:rPr>
          <w:rFonts w:ascii="仿宋" w:eastAsia="仿宋" w:hAnsi="仿宋"/>
          <w:sz w:val="24"/>
          <w:szCs w:val="24"/>
        </w:rPr>
        <w:t>规</w:t>
      </w:r>
      <w:proofErr w:type="gramEnd"/>
      <w:r w:rsidRPr="00282199">
        <w:rPr>
          <w:rFonts w:ascii="仿宋" w:eastAsia="仿宋" w:hAnsi="仿宋"/>
          <w:sz w:val="24"/>
          <w:szCs w:val="24"/>
        </w:rPr>
        <w:t>范畴下实现降低税务成本的最优解；其二，高净值人群越发强调专业力量的协助，平均每个家庭雇佣约1.8个专业人员或机构，负责CRS申报、SWIFT资金路径追踪、家族办公室的架构隔离等诸多事务，从而实现个人的资产合</w:t>
      </w:r>
      <w:proofErr w:type="gramStart"/>
      <w:r w:rsidRPr="00282199">
        <w:rPr>
          <w:rFonts w:ascii="仿宋" w:eastAsia="仿宋" w:hAnsi="仿宋"/>
          <w:sz w:val="24"/>
          <w:szCs w:val="24"/>
        </w:rPr>
        <w:t>规</w:t>
      </w:r>
      <w:proofErr w:type="gramEnd"/>
      <w:r w:rsidRPr="00282199">
        <w:rPr>
          <w:rFonts w:ascii="仿宋" w:eastAsia="仿宋" w:hAnsi="仿宋"/>
          <w:sz w:val="24"/>
          <w:szCs w:val="24"/>
        </w:rPr>
        <w:t>与稳健传承。</w:t>
      </w:r>
      <w:r w:rsidRPr="00282199">
        <w:rPr>
          <w:rFonts w:ascii="仿宋" w:eastAsia="仿宋" w:hAnsi="仿宋"/>
          <w:sz w:val="24"/>
          <w:szCs w:val="24"/>
        </w:rPr>
        <w:br/>
      </w:r>
    </w:p>
    <w:p w14:paraId="60828195" w14:textId="2F126678" w:rsidR="00282199" w:rsidRPr="00282199" w:rsidRDefault="00282199" w:rsidP="00282199">
      <w:pPr>
        <w:rPr>
          <w:rFonts w:ascii="仿宋" w:eastAsia="仿宋" w:hAnsi="仿宋" w:hint="eastAsia"/>
          <w:sz w:val="24"/>
          <w:szCs w:val="24"/>
        </w:rPr>
      </w:pPr>
      <w:r w:rsidRPr="00282199">
        <w:rPr>
          <w:rFonts w:ascii="仿宋" w:eastAsia="仿宋" w:hAnsi="仿宋"/>
          <w:b/>
          <w:bCs/>
          <w:sz w:val="24"/>
          <w:szCs w:val="24"/>
        </w:rPr>
        <w:t>（三）海外金融账户常见类型</w:t>
      </w:r>
      <w:r w:rsidRPr="00282199">
        <w:rPr>
          <w:rFonts w:ascii="仿宋" w:eastAsia="仿宋" w:hAnsi="仿宋"/>
          <w:b/>
          <w:bCs/>
          <w:sz w:val="24"/>
          <w:szCs w:val="24"/>
        </w:rPr>
        <w:br/>
      </w:r>
    </w:p>
    <w:p w14:paraId="09B22126" w14:textId="77777777"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对于高净值人士来说，在海外设立金融账户并对其合理进行合</w:t>
      </w:r>
      <w:proofErr w:type="gramStart"/>
      <w:r w:rsidRPr="00282199">
        <w:rPr>
          <w:rFonts w:ascii="仿宋" w:eastAsia="仿宋" w:hAnsi="仿宋"/>
          <w:sz w:val="24"/>
          <w:szCs w:val="24"/>
        </w:rPr>
        <w:t>规</w:t>
      </w:r>
      <w:proofErr w:type="gramEnd"/>
      <w:r w:rsidRPr="00282199">
        <w:rPr>
          <w:rFonts w:ascii="仿宋" w:eastAsia="仿宋" w:hAnsi="仿宋"/>
          <w:sz w:val="24"/>
          <w:szCs w:val="24"/>
        </w:rPr>
        <w:t>管理是跨境理财的重要部分，我们认为在法律实践中主要应该重视以下四个账户:</w:t>
      </w:r>
    </w:p>
    <w:p w14:paraId="11AE777D" w14:textId="77777777" w:rsidR="00282199" w:rsidRPr="00282199" w:rsidRDefault="00282199" w:rsidP="00282199">
      <w:pPr>
        <w:rPr>
          <w:rFonts w:ascii="仿宋" w:eastAsia="仿宋" w:hAnsi="仿宋" w:hint="eastAsia"/>
          <w:sz w:val="24"/>
          <w:szCs w:val="24"/>
        </w:rPr>
      </w:pPr>
      <w:r w:rsidRPr="00282199">
        <w:rPr>
          <w:rFonts w:ascii="仿宋" w:eastAsia="仿宋" w:hAnsi="仿宋"/>
          <w:sz w:val="24"/>
          <w:szCs w:val="24"/>
        </w:rPr>
        <w:br/>
      </w:r>
    </w:p>
    <w:p w14:paraId="19DDEE77" w14:textId="6FF1E3BB" w:rsidR="00282199" w:rsidRPr="00282199" w:rsidRDefault="00282199" w:rsidP="00282199">
      <w:pPr>
        <w:rPr>
          <w:rFonts w:ascii="仿宋" w:eastAsia="仿宋" w:hAnsi="仿宋" w:hint="eastAsia"/>
          <w:sz w:val="24"/>
          <w:szCs w:val="24"/>
        </w:rPr>
      </w:pPr>
      <w:r w:rsidRPr="00282199">
        <w:rPr>
          <w:rFonts w:ascii="仿宋" w:eastAsia="仿宋" w:hAnsi="仿宋"/>
          <w:noProof/>
          <w:sz w:val="24"/>
          <w:szCs w:val="24"/>
        </w:rPr>
        <w:drawing>
          <wp:inline distT="0" distB="0" distL="0" distR="0" wp14:anchorId="10BAEB9B" wp14:editId="7B008FFF">
            <wp:extent cx="5274310" cy="3200400"/>
            <wp:effectExtent l="0" t="0" r="2540" b="0"/>
            <wp:docPr id="421572872" name="图片 2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图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200400"/>
                    </a:xfrm>
                    <a:prstGeom prst="rect">
                      <a:avLst/>
                    </a:prstGeom>
                    <a:noFill/>
                    <a:ln>
                      <a:noFill/>
                    </a:ln>
                  </pic:spPr>
                </pic:pic>
              </a:graphicData>
            </a:graphic>
          </wp:inline>
        </w:drawing>
      </w:r>
      <w:r w:rsidRPr="00282199">
        <w:rPr>
          <w:rFonts w:ascii="仿宋" w:eastAsia="仿宋" w:hAnsi="仿宋"/>
          <w:sz w:val="24"/>
          <w:szCs w:val="24"/>
        </w:rPr>
        <w:br/>
      </w:r>
    </w:p>
    <w:p w14:paraId="3A0B98E8" w14:textId="2DBA6A7B"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需要特别注意的是，这些账户间的资金往来会形成完整的交易链条，监管部门经SWIFT系统可追踪证券收益转入保险账户、信托向银行账户拨款等资金流动轨迹。因此，高净值人群在进行跨境财富管理时，必须确保各环节的合</w:t>
      </w:r>
      <w:proofErr w:type="gramStart"/>
      <w:r w:rsidRPr="00282199">
        <w:rPr>
          <w:rFonts w:ascii="仿宋" w:eastAsia="仿宋" w:hAnsi="仿宋"/>
          <w:sz w:val="24"/>
          <w:szCs w:val="24"/>
        </w:rPr>
        <w:t>规</w:t>
      </w:r>
      <w:proofErr w:type="gramEnd"/>
      <w:r w:rsidRPr="00282199">
        <w:rPr>
          <w:rFonts w:ascii="仿宋" w:eastAsia="仿宋" w:hAnsi="仿宋"/>
          <w:sz w:val="24"/>
          <w:szCs w:val="24"/>
        </w:rPr>
        <w:t>性。具体而言，通过接入SWIFT系统，监管机构可以掌握证券账户间资金交易，例如收益划转进入保险账户，资金从信托账户划转进入银行账户等资金流转情况。因此，对高净值人士而言，跨境财富管理过程应更加注重资产合</w:t>
      </w:r>
      <w:proofErr w:type="gramStart"/>
      <w:r w:rsidRPr="00282199">
        <w:rPr>
          <w:rFonts w:ascii="仿宋" w:eastAsia="仿宋" w:hAnsi="仿宋"/>
          <w:sz w:val="24"/>
          <w:szCs w:val="24"/>
        </w:rPr>
        <w:t>规</w:t>
      </w:r>
      <w:proofErr w:type="gramEnd"/>
      <w:r w:rsidRPr="00282199">
        <w:rPr>
          <w:rFonts w:ascii="仿宋" w:eastAsia="仿宋" w:hAnsi="仿宋"/>
          <w:sz w:val="24"/>
          <w:szCs w:val="24"/>
        </w:rPr>
        <w:t>，主动遵循各国法律法规，积极配合CRS申报等国际税收合</w:t>
      </w:r>
      <w:proofErr w:type="gramStart"/>
      <w:r w:rsidRPr="00282199">
        <w:rPr>
          <w:rFonts w:ascii="仿宋" w:eastAsia="仿宋" w:hAnsi="仿宋"/>
          <w:sz w:val="24"/>
          <w:szCs w:val="24"/>
        </w:rPr>
        <w:t>规</w:t>
      </w:r>
      <w:proofErr w:type="gramEnd"/>
      <w:r w:rsidRPr="00282199">
        <w:rPr>
          <w:rFonts w:ascii="仿宋" w:eastAsia="仿宋" w:hAnsi="仿宋"/>
          <w:sz w:val="24"/>
          <w:szCs w:val="24"/>
        </w:rPr>
        <w:t>要求，谨慎选择专业的跨境财富管理服</w:t>
      </w:r>
      <w:r w:rsidRPr="00282199">
        <w:rPr>
          <w:rFonts w:ascii="仿宋" w:eastAsia="仿宋" w:hAnsi="仿宋"/>
          <w:sz w:val="24"/>
          <w:szCs w:val="24"/>
        </w:rPr>
        <w:lastRenderedPageBreak/>
        <w:t>务机构，确保资金配置规划合理、申报及时准确。</w:t>
      </w:r>
      <w:r w:rsidRPr="00282199">
        <w:rPr>
          <w:rFonts w:ascii="仿宋" w:eastAsia="仿宋" w:hAnsi="仿宋"/>
          <w:sz w:val="24"/>
          <w:szCs w:val="24"/>
        </w:rPr>
        <w:br/>
      </w:r>
    </w:p>
    <w:p w14:paraId="15134CBC" w14:textId="6393B9BD" w:rsidR="00282199" w:rsidRPr="00282199" w:rsidRDefault="00282199" w:rsidP="00282199">
      <w:pPr>
        <w:rPr>
          <w:rFonts w:ascii="仿宋" w:eastAsia="仿宋" w:hAnsi="仿宋" w:hint="eastAsia"/>
          <w:sz w:val="24"/>
          <w:szCs w:val="24"/>
        </w:rPr>
      </w:pPr>
      <w:r w:rsidRPr="00282199">
        <w:rPr>
          <w:rFonts w:ascii="仿宋" w:eastAsia="仿宋" w:hAnsi="仿宋"/>
          <w:b/>
          <w:bCs/>
          <w:sz w:val="24"/>
          <w:szCs w:val="24"/>
        </w:rPr>
        <w:t>三、全球税收透明度体系比较研究</w:t>
      </w:r>
      <w:r w:rsidRPr="00282199">
        <w:rPr>
          <w:rFonts w:ascii="仿宋" w:eastAsia="仿宋" w:hAnsi="仿宋"/>
          <w:sz w:val="24"/>
          <w:szCs w:val="24"/>
        </w:rPr>
        <w:br/>
      </w:r>
    </w:p>
    <w:p w14:paraId="07F5FCE6" w14:textId="35496552" w:rsidR="00282199" w:rsidRPr="00282199" w:rsidRDefault="00282199" w:rsidP="00282199">
      <w:pPr>
        <w:rPr>
          <w:rFonts w:ascii="仿宋" w:eastAsia="仿宋" w:hAnsi="仿宋" w:hint="eastAsia"/>
          <w:sz w:val="24"/>
          <w:szCs w:val="24"/>
        </w:rPr>
      </w:pPr>
      <w:r w:rsidRPr="00282199">
        <w:rPr>
          <w:rFonts w:ascii="仿宋" w:eastAsia="仿宋" w:hAnsi="仿宋"/>
          <w:b/>
          <w:bCs/>
          <w:sz w:val="24"/>
          <w:szCs w:val="24"/>
        </w:rPr>
        <w:t>（一）CRS与美国FATCA法案</w:t>
      </w:r>
      <w:r w:rsidRPr="00282199">
        <w:rPr>
          <w:rFonts w:ascii="仿宋" w:eastAsia="仿宋" w:hAnsi="仿宋"/>
          <w:b/>
          <w:bCs/>
          <w:sz w:val="24"/>
          <w:szCs w:val="24"/>
        </w:rPr>
        <w:br/>
      </w:r>
    </w:p>
    <w:p w14:paraId="7B6A1C19" w14:textId="1B76DD9E"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FATCA(海外账户纳税合</w:t>
      </w:r>
      <w:proofErr w:type="gramStart"/>
      <w:r w:rsidRPr="00282199">
        <w:rPr>
          <w:rFonts w:ascii="仿宋" w:eastAsia="仿宋" w:hAnsi="仿宋"/>
          <w:sz w:val="24"/>
          <w:szCs w:val="24"/>
        </w:rPr>
        <w:t>规</w:t>
      </w:r>
      <w:proofErr w:type="gramEnd"/>
      <w:r w:rsidRPr="00282199">
        <w:rPr>
          <w:rFonts w:ascii="仿宋" w:eastAsia="仿宋" w:hAnsi="仿宋"/>
          <w:sz w:val="24"/>
          <w:szCs w:val="24"/>
        </w:rPr>
        <w:t>法案)是2010年美国颁布实施的海外账户纳税合</w:t>
      </w:r>
      <w:proofErr w:type="gramStart"/>
      <w:r w:rsidRPr="00282199">
        <w:rPr>
          <w:rFonts w:ascii="仿宋" w:eastAsia="仿宋" w:hAnsi="仿宋"/>
          <w:sz w:val="24"/>
          <w:szCs w:val="24"/>
        </w:rPr>
        <w:t>规</w:t>
      </w:r>
      <w:proofErr w:type="gramEnd"/>
      <w:r w:rsidRPr="00282199">
        <w:rPr>
          <w:rFonts w:ascii="仿宋" w:eastAsia="仿宋" w:hAnsi="仿宋"/>
          <w:sz w:val="24"/>
          <w:szCs w:val="24"/>
        </w:rPr>
        <w:t>法案，已经在全球范围内建立了海外资产强制申报制度，实行双重监管：一方面要求FFIs(外国金融机构)建立客户登记目录，定期将美国公民、永久居住者、居民纳税人的金融账户筛查、核查并报送给美国税务局；另一方面要求外国居民申报在美国境外的金融资产(包括居住在外国境内、但具有居民身份、纳税义务的美国公民和永久居民)。</w:t>
      </w:r>
      <w:r w:rsidRPr="00282199">
        <w:rPr>
          <w:rFonts w:ascii="仿宋" w:eastAsia="仿宋" w:hAnsi="仿宋"/>
          <w:sz w:val="24"/>
          <w:szCs w:val="24"/>
        </w:rPr>
        <w:br/>
      </w:r>
      <w:r w:rsidR="003752A2">
        <w:rPr>
          <w:rFonts w:ascii="仿宋" w:eastAsia="仿宋" w:hAnsi="仿宋" w:hint="eastAsia"/>
          <w:sz w:val="24"/>
          <w:szCs w:val="24"/>
        </w:rPr>
        <w:t xml:space="preserve">    </w:t>
      </w:r>
      <w:r w:rsidRPr="00282199">
        <w:rPr>
          <w:rFonts w:ascii="仿宋" w:eastAsia="仿宋" w:hAnsi="仿宋"/>
          <w:sz w:val="24"/>
          <w:szCs w:val="24"/>
        </w:rPr>
        <w:t>CRS（</w:t>
      </w:r>
      <w:proofErr w:type="spellStart"/>
      <w:r w:rsidRPr="00282199">
        <w:rPr>
          <w:rFonts w:ascii="仿宋" w:eastAsia="仿宋" w:hAnsi="仿宋"/>
          <w:sz w:val="24"/>
          <w:szCs w:val="24"/>
        </w:rPr>
        <w:t>CommonReportingStandard</w:t>
      </w:r>
      <w:proofErr w:type="spellEnd"/>
      <w:r w:rsidRPr="00282199">
        <w:rPr>
          <w:rFonts w:ascii="仿宋" w:eastAsia="仿宋" w:hAnsi="仿宋"/>
          <w:sz w:val="24"/>
          <w:szCs w:val="24"/>
        </w:rPr>
        <w:t>共同申报准则）是由经济合作与发展组织（OECD）发布，旨在推动国家（地区）间系统化、常态化地自动交换税务居民金融账户涉税信息，以提升全球税收透明度，打击跨境逃避缴纳税款的一款签署公民信息交换的准则。</w:t>
      </w:r>
    </w:p>
    <w:p w14:paraId="0C554EED" w14:textId="128383A7" w:rsid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在合</w:t>
      </w:r>
      <w:proofErr w:type="gramStart"/>
      <w:r w:rsidRPr="00282199">
        <w:rPr>
          <w:rFonts w:ascii="仿宋" w:eastAsia="仿宋" w:hAnsi="仿宋"/>
          <w:sz w:val="24"/>
          <w:szCs w:val="24"/>
        </w:rPr>
        <w:t>规</w:t>
      </w:r>
      <w:proofErr w:type="gramEnd"/>
      <w:r w:rsidRPr="00282199">
        <w:rPr>
          <w:rFonts w:ascii="仿宋" w:eastAsia="仿宋" w:hAnsi="仿宋"/>
          <w:sz w:val="24"/>
          <w:szCs w:val="24"/>
        </w:rPr>
        <w:t>执行方面，FATCA的强制预提税制度是强制的全球金融机构合作制度。若外国金融机构未与美国签订IGA，且会被美国认定为“需要扣缴账户”，须向美国缴纳30%的预提税。但是，美国在强制要求外国金融机构信息的同时，并没有对等承担信息交换义务，其并未加入当前通用的CRS多边机制。这种不对称的监管模式引发了国际社会的广泛争议，学界普遍认为这是导致近年来美国公民放弃国籍数量激增的重要因素之一。</w:t>
      </w:r>
    </w:p>
    <w:p w14:paraId="1E2E9C47" w14:textId="77777777" w:rsidR="003752A2" w:rsidRPr="00282199" w:rsidRDefault="003752A2" w:rsidP="003752A2">
      <w:pPr>
        <w:ind w:firstLineChars="200" w:firstLine="480"/>
        <w:rPr>
          <w:rFonts w:ascii="仿宋" w:eastAsia="仿宋" w:hAnsi="仿宋" w:hint="eastAsia"/>
          <w:sz w:val="24"/>
          <w:szCs w:val="24"/>
        </w:rPr>
      </w:pPr>
    </w:p>
    <w:p w14:paraId="7D41CA83" w14:textId="714A33DE" w:rsidR="00282199" w:rsidRPr="00282199" w:rsidRDefault="00282199" w:rsidP="00282199">
      <w:pPr>
        <w:rPr>
          <w:rFonts w:ascii="仿宋" w:eastAsia="仿宋" w:hAnsi="仿宋" w:hint="eastAsia"/>
          <w:sz w:val="24"/>
          <w:szCs w:val="24"/>
        </w:rPr>
      </w:pPr>
      <w:r w:rsidRPr="00282199">
        <w:rPr>
          <w:rFonts w:ascii="仿宋" w:eastAsia="仿宋" w:hAnsi="仿宋"/>
          <w:sz w:val="24"/>
          <w:szCs w:val="24"/>
        </w:rPr>
        <w:t>1.FATCA法案申报范围</w:t>
      </w:r>
    </w:p>
    <w:p w14:paraId="7061A125" w14:textId="69659E0E"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FATCA法案规定境外申报的金融资产具体包括：境外持有的金融账户（比如银行账户、投资账户等境外非账户持有以投资的形式持有的国外金融工具、股票、证券等资产）。</w:t>
      </w:r>
    </w:p>
    <w:p w14:paraId="20EE94EE" w14:textId="53632674" w:rsidR="00282199" w:rsidRPr="00282199" w:rsidRDefault="00282199" w:rsidP="00282199">
      <w:pPr>
        <w:rPr>
          <w:rFonts w:ascii="仿宋" w:eastAsia="仿宋" w:hAnsi="仿宋" w:hint="eastAsia"/>
          <w:sz w:val="24"/>
          <w:szCs w:val="24"/>
        </w:rPr>
      </w:pPr>
      <w:r w:rsidRPr="00282199">
        <w:rPr>
          <w:rFonts w:ascii="仿宋" w:eastAsia="仿宋" w:hAnsi="仿宋"/>
          <w:sz w:val="24"/>
          <w:szCs w:val="24"/>
        </w:rPr>
        <w:t>2.FATCA法案的适用对象</w:t>
      </w:r>
    </w:p>
    <w:p w14:paraId="15FE30A7" w14:textId="79C51D9C"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特定个人(</w:t>
      </w:r>
      <w:proofErr w:type="spellStart"/>
      <w:r w:rsidRPr="00282199">
        <w:rPr>
          <w:rFonts w:ascii="仿宋" w:eastAsia="仿宋" w:hAnsi="仿宋"/>
          <w:sz w:val="24"/>
          <w:szCs w:val="24"/>
        </w:rPr>
        <w:t>SpecifiedIndividual</w:t>
      </w:r>
      <w:proofErr w:type="spellEnd"/>
      <w:r w:rsidRPr="00282199">
        <w:rPr>
          <w:rFonts w:ascii="仿宋" w:eastAsia="仿宋" w:hAnsi="仿宋"/>
          <w:sz w:val="24"/>
          <w:szCs w:val="24"/>
        </w:rPr>
        <w:t>)：美国公民、被定义的美国税务居民(</w:t>
      </w:r>
      <w:proofErr w:type="spellStart"/>
      <w:r w:rsidRPr="00282199">
        <w:rPr>
          <w:rFonts w:ascii="仿宋" w:eastAsia="仿宋" w:hAnsi="仿宋"/>
          <w:sz w:val="24"/>
          <w:szCs w:val="24"/>
        </w:rPr>
        <w:t>ResidentAliens</w:t>
      </w:r>
      <w:proofErr w:type="spellEnd"/>
      <w:r w:rsidRPr="00282199">
        <w:rPr>
          <w:rFonts w:ascii="仿宋" w:eastAsia="仿宋" w:hAnsi="仿宋"/>
          <w:sz w:val="24"/>
          <w:szCs w:val="24"/>
        </w:rPr>
        <w:t>)需要提交Form8938。</w:t>
      </w:r>
    </w:p>
    <w:p w14:paraId="518E8648" w14:textId="20036875"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特定国内实体(</w:t>
      </w:r>
      <w:proofErr w:type="spellStart"/>
      <w:r w:rsidRPr="00282199">
        <w:rPr>
          <w:rFonts w:ascii="仿宋" w:eastAsia="仿宋" w:hAnsi="仿宋"/>
          <w:sz w:val="24"/>
          <w:szCs w:val="24"/>
        </w:rPr>
        <w:t>SpecifiedDomesticEntity</w:t>
      </w:r>
      <w:proofErr w:type="spellEnd"/>
      <w:r w:rsidRPr="00282199">
        <w:rPr>
          <w:rFonts w:ascii="仿宋" w:eastAsia="仿宋" w:hAnsi="仿宋"/>
          <w:sz w:val="24"/>
          <w:szCs w:val="24"/>
        </w:rPr>
        <w:t>)：泛指为了直接或间接持有特定海外金融资产而设立的国内实体，可以是公司、合伙企业或信托。</w:t>
      </w:r>
    </w:p>
    <w:p w14:paraId="32E71D41" w14:textId="3089E42D" w:rsidR="00282199" w:rsidRPr="00282199" w:rsidRDefault="00282199" w:rsidP="00282199">
      <w:pPr>
        <w:rPr>
          <w:rFonts w:ascii="仿宋" w:eastAsia="仿宋" w:hAnsi="仿宋" w:hint="eastAsia"/>
          <w:sz w:val="24"/>
          <w:szCs w:val="24"/>
        </w:rPr>
      </w:pPr>
      <w:r w:rsidRPr="00282199">
        <w:rPr>
          <w:rFonts w:ascii="仿宋" w:eastAsia="仿宋" w:hAnsi="仿宋"/>
          <w:sz w:val="24"/>
          <w:szCs w:val="24"/>
        </w:rPr>
        <w:t>3.申报方式</w:t>
      </w:r>
    </w:p>
    <w:p w14:paraId="07A7534D" w14:textId="121DBE00"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申报主体需要通过提交8938表格“特定境外资产申报表”向美国国税局（IRS）申报海外资产，申报标准根据申报人的居住地和所得税申报状态有所不同：</w:t>
      </w:r>
    </w:p>
    <w:p w14:paraId="0117BEAE" w14:textId="6CF1679B" w:rsidR="00282199" w:rsidRPr="00282199" w:rsidRDefault="00282199" w:rsidP="003752A2">
      <w:pPr>
        <w:ind w:firstLineChars="200" w:firstLine="480"/>
        <w:rPr>
          <w:rFonts w:ascii="仿宋" w:eastAsia="仿宋" w:hAnsi="仿宋" w:hint="eastAsia"/>
          <w:sz w:val="24"/>
          <w:szCs w:val="24"/>
        </w:rPr>
      </w:pPr>
      <w:r w:rsidRPr="003752A2">
        <w:rPr>
          <w:rFonts w:ascii="仿宋" w:eastAsia="仿宋" w:hAnsi="仿宋"/>
          <w:sz w:val="24"/>
          <w:szCs w:val="24"/>
        </w:rPr>
        <w:t>居住在美国的特定申报人</w:t>
      </w:r>
      <w:r w:rsidRPr="003752A2">
        <w:rPr>
          <w:rFonts w:ascii="Courier New" w:eastAsia="仿宋" w:hAnsi="Courier New" w:cs="Courier New"/>
          <w:sz w:val="24"/>
          <w:szCs w:val="24"/>
        </w:rPr>
        <w:t>‌</w:t>
      </w:r>
      <w:r w:rsidRPr="003752A2">
        <w:rPr>
          <w:rFonts w:ascii="仿宋" w:eastAsia="仿宋" w:hAnsi="仿宋"/>
          <w:sz w:val="24"/>
          <w:szCs w:val="24"/>
        </w:rPr>
        <w:t>：</w:t>
      </w:r>
      <w:r w:rsidRPr="00282199">
        <w:rPr>
          <w:rFonts w:ascii="仿宋" w:eastAsia="仿宋" w:hAnsi="仿宋"/>
          <w:sz w:val="24"/>
          <w:szCs w:val="24"/>
        </w:rPr>
        <w:t>资产总值在纳税年度的最后一天超过50,000美元，或在纳税年度的任何时间超过75,000美元。</w:t>
      </w:r>
      <w:r w:rsidRPr="00282199">
        <w:rPr>
          <w:rFonts w:ascii="Calibri" w:eastAsia="仿宋" w:hAnsi="Calibri" w:cs="Calibri"/>
          <w:sz w:val="24"/>
          <w:szCs w:val="24"/>
        </w:rPr>
        <w:t> </w:t>
      </w:r>
    </w:p>
    <w:p w14:paraId="60123C05" w14:textId="7388C39D" w:rsidR="00282199" w:rsidRPr="00282199" w:rsidRDefault="00282199" w:rsidP="003752A2">
      <w:pPr>
        <w:ind w:firstLineChars="200" w:firstLine="480"/>
        <w:rPr>
          <w:rFonts w:ascii="仿宋" w:eastAsia="仿宋" w:hAnsi="仿宋" w:hint="eastAsia"/>
          <w:sz w:val="24"/>
          <w:szCs w:val="24"/>
        </w:rPr>
      </w:pPr>
      <w:r w:rsidRPr="003752A2">
        <w:rPr>
          <w:rFonts w:ascii="仿宋" w:eastAsia="仿宋" w:hAnsi="仿宋"/>
          <w:sz w:val="24"/>
          <w:szCs w:val="24"/>
        </w:rPr>
        <w:t>居住在美国以外的特定申报人</w:t>
      </w:r>
      <w:r w:rsidRPr="003752A2">
        <w:rPr>
          <w:rFonts w:ascii="Courier New" w:eastAsia="仿宋" w:hAnsi="Courier New" w:cs="Courier New"/>
          <w:sz w:val="24"/>
          <w:szCs w:val="24"/>
        </w:rPr>
        <w:t>‌</w:t>
      </w:r>
      <w:r w:rsidRPr="003752A2">
        <w:rPr>
          <w:rFonts w:ascii="仿宋" w:eastAsia="仿宋" w:hAnsi="仿宋"/>
          <w:sz w:val="24"/>
          <w:szCs w:val="24"/>
        </w:rPr>
        <w:t>：</w:t>
      </w:r>
      <w:r w:rsidRPr="00282199">
        <w:rPr>
          <w:rFonts w:ascii="仿宋" w:eastAsia="仿宋" w:hAnsi="仿宋"/>
          <w:sz w:val="24"/>
          <w:szCs w:val="24"/>
        </w:rPr>
        <w:t>资产总值在纳税年度的最后一天超过200,000美元，或在纳税年度的任何时间超过300,000美元</w:t>
      </w:r>
      <w:r w:rsidRPr="00282199">
        <w:rPr>
          <w:rFonts w:ascii="Courier New" w:eastAsia="仿宋" w:hAnsi="Courier New" w:cs="Courier New"/>
          <w:sz w:val="24"/>
          <w:szCs w:val="24"/>
        </w:rPr>
        <w:t>‌</w:t>
      </w:r>
      <w:r w:rsidRPr="00282199">
        <w:rPr>
          <w:rFonts w:ascii="仿宋" w:eastAsia="仿宋" w:hAnsi="仿宋"/>
          <w:sz w:val="24"/>
          <w:szCs w:val="24"/>
        </w:rPr>
        <w:t>。</w:t>
      </w:r>
    </w:p>
    <w:p w14:paraId="36957FB2" w14:textId="4A970B2D" w:rsidR="00282199" w:rsidRPr="00282199" w:rsidRDefault="00282199" w:rsidP="00282199">
      <w:pPr>
        <w:rPr>
          <w:rFonts w:ascii="仿宋" w:eastAsia="仿宋" w:hAnsi="仿宋" w:hint="eastAsia"/>
          <w:sz w:val="24"/>
          <w:szCs w:val="24"/>
        </w:rPr>
      </w:pPr>
      <w:r w:rsidRPr="00282199">
        <w:rPr>
          <w:rFonts w:ascii="仿宋" w:eastAsia="仿宋" w:hAnsi="仿宋"/>
          <w:noProof/>
          <w:sz w:val="24"/>
          <w:szCs w:val="24"/>
        </w:rPr>
        <w:lastRenderedPageBreak/>
        <w:drawing>
          <wp:inline distT="0" distB="0" distL="0" distR="0" wp14:anchorId="6DED4943" wp14:editId="5771FA2A">
            <wp:extent cx="5274310" cy="5349240"/>
            <wp:effectExtent l="0" t="0" r="2540" b="3810"/>
            <wp:docPr id="1764563970" name="图片 2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图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5349240"/>
                    </a:xfrm>
                    <a:prstGeom prst="rect">
                      <a:avLst/>
                    </a:prstGeom>
                    <a:noFill/>
                    <a:ln>
                      <a:noFill/>
                    </a:ln>
                  </pic:spPr>
                </pic:pic>
              </a:graphicData>
            </a:graphic>
          </wp:inline>
        </w:drawing>
      </w:r>
    </w:p>
    <w:p w14:paraId="4E1C92B8" w14:textId="0B956053" w:rsidR="00282199" w:rsidRDefault="00282199" w:rsidP="00282199">
      <w:pPr>
        <w:rPr>
          <w:rFonts w:ascii="仿宋" w:eastAsia="仿宋" w:hAnsi="仿宋" w:hint="eastAsia"/>
          <w:sz w:val="24"/>
          <w:szCs w:val="24"/>
        </w:rPr>
      </w:pPr>
      <w:r w:rsidRPr="00282199">
        <w:rPr>
          <w:rFonts w:ascii="仿宋" w:eastAsia="仿宋" w:hAnsi="仿宋"/>
          <w:sz w:val="24"/>
          <w:szCs w:val="24"/>
        </w:rPr>
        <w:t>（部分8938表格）</w:t>
      </w:r>
    </w:p>
    <w:p w14:paraId="5160A65B" w14:textId="77777777" w:rsidR="003752A2" w:rsidRPr="00282199" w:rsidRDefault="003752A2" w:rsidP="00282199">
      <w:pPr>
        <w:rPr>
          <w:rFonts w:ascii="仿宋" w:eastAsia="仿宋" w:hAnsi="仿宋" w:hint="eastAsia"/>
          <w:sz w:val="24"/>
          <w:szCs w:val="24"/>
        </w:rPr>
      </w:pPr>
    </w:p>
    <w:p w14:paraId="562D65AE" w14:textId="31B78599" w:rsidR="00282199" w:rsidRDefault="00282199" w:rsidP="00282199">
      <w:pPr>
        <w:rPr>
          <w:rFonts w:ascii="仿宋" w:eastAsia="仿宋" w:hAnsi="仿宋" w:hint="eastAsia"/>
          <w:sz w:val="24"/>
          <w:szCs w:val="24"/>
        </w:rPr>
      </w:pPr>
      <w:r w:rsidRPr="00282199">
        <w:rPr>
          <w:rFonts w:ascii="仿宋" w:eastAsia="仿宋" w:hAnsi="仿宋"/>
          <w:sz w:val="24"/>
          <w:szCs w:val="24"/>
        </w:rPr>
        <w:t>4.相关罚则</w:t>
      </w:r>
    </w:p>
    <w:p w14:paraId="4A286CC7" w14:textId="2AF6BC88" w:rsid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若未按制度规定提交8938表将面临罚款甚至判刑等重罚：应申报8938表而未申报，可能会导致10000美元的罚金。在收到国税局通知后，如果仍未申报的追加罚金高达50000美元。任何因为未披露的资产造成低报应纳税款，其罚金可达应纳税款的40%。特殊法律追诉期适用于8938表，并需要在填表说明中进行解释。不申报外国金融资产者，除了面临罚款外，还有可能受到刑事处罚。</w:t>
      </w:r>
    </w:p>
    <w:p w14:paraId="0AB2ED1E" w14:textId="77777777" w:rsidR="003752A2" w:rsidRPr="00282199" w:rsidRDefault="003752A2" w:rsidP="003752A2">
      <w:pPr>
        <w:ind w:firstLineChars="200" w:firstLine="480"/>
        <w:rPr>
          <w:rFonts w:ascii="仿宋" w:eastAsia="仿宋" w:hAnsi="仿宋" w:hint="eastAsia"/>
          <w:sz w:val="24"/>
          <w:szCs w:val="24"/>
        </w:rPr>
      </w:pPr>
    </w:p>
    <w:p w14:paraId="76CF3849" w14:textId="7BD4A927" w:rsidR="00282199" w:rsidRPr="00282199" w:rsidRDefault="00282199" w:rsidP="00282199">
      <w:pPr>
        <w:rPr>
          <w:rFonts w:ascii="仿宋" w:eastAsia="仿宋" w:hAnsi="仿宋" w:hint="eastAsia"/>
          <w:sz w:val="24"/>
          <w:szCs w:val="24"/>
        </w:rPr>
      </w:pPr>
      <w:r w:rsidRPr="00282199">
        <w:rPr>
          <w:rFonts w:ascii="仿宋" w:eastAsia="仿宋" w:hAnsi="仿宋"/>
          <w:sz w:val="24"/>
          <w:szCs w:val="24"/>
        </w:rPr>
        <w:t>5.FATCA和CRS的具体差异</w:t>
      </w:r>
    </w:p>
    <w:p w14:paraId="0B49AC9E" w14:textId="104DE56A"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CRS（《金融账户涉税信息自动交换标准》）与FATCA（美国海外账户税收合</w:t>
      </w:r>
      <w:proofErr w:type="gramStart"/>
      <w:r w:rsidRPr="00282199">
        <w:rPr>
          <w:rFonts w:ascii="仿宋" w:eastAsia="仿宋" w:hAnsi="仿宋"/>
          <w:sz w:val="24"/>
          <w:szCs w:val="24"/>
        </w:rPr>
        <w:t>规</w:t>
      </w:r>
      <w:proofErr w:type="gramEnd"/>
      <w:r w:rsidRPr="00282199">
        <w:rPr>
          <w:rFonts w:ascii="仿宋" w:eastAsia="仿宋" w:hAnsi="仿宋"/>
          <w:sz w:val="24"/>
          <w:szCs w:val="24"/>
        </w:rPr>
        <w:t>法案）在多方面存在显著差异。</w:t>
      </w:r>
    </w:p>
    <w:p w14:paraId="7492D6DC" w14:textId="5EE94C54"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在信息获取方式上，CRS采用的是全部自动信息获取方式，实现了参与国家和地区之间金融账户信息的自动化批量交换；而FATCA自动信息获取方式则有两种：一种是缔约国政府先向本国金融机构获取信息，再将此类信息上报给美国国税局（IRS），另一种是缔约国金融机构直接将相关信息上报给IRS。</w:t>
      </w:r>
    </w:p>
    <w:p w14:paraId="664A21E4" w14:textId="301B726A"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lastRenderedPageBreak/>
        <w:t>在监管客体方面，CRS以税收居民为判定主体，与现行国际税收协定一致。相比之下，FATCA的义务主体主要限于公民、绿卡持有者等具有美国纳税义务的特定群体，其侧重点在于确保美国纳税人的全球资产和收入信息的充分披露。</w:t>
      </w:r>
    </w:p>
    <w:p w14:paraId="2212CFE3" w14:textId="4B9F7EBE"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在具体实施规范上，CRS为参与国家和地区制定了较为统一的金融机构尽职调查和报告，从而降低信息交换的成本和难度。当前，已有110多个国家和地区加入CRS，交换金融账户信息超过1.11亿个。而FATCA则以美国国内法的形式，借助双边或多边谈判达成协议，因而导致各缔约国的协议内容存在具体差异，即FATCA在实施过程中面临着相对更高的协调成本和复杂性。</w:t>
      </w:r>
    </w:p>
    <w:p w14:paraId="00B9BC68" w14:textId="3C9CD378"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FATCA最值得关注的就是其30%的预提惩罚税，这一惩罚性措施在CRS中并未提及。目前，全球已有113个国家（地区）签署了FATCA文件，而美国尚未纳入CRS中，使得部分纳税人试图通过变相绕开CRS，转而向美国融资的方式来避开CRS的报送要求。然而，全球对税收透明化的“开放”程序已越来越高，国际社会在打击跨境避税和加强税收合作方面的努力亦在不断加强，由此而言，企图通过此种方式规避CRS的难度也愈发增强，即越来越无法实现“绕开”CRS的目的。</w:t>
      </w:r>
    </w:p>
    <w:p w14:paraId="1B108AF5" w14:textId="67696B1F"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在我国，CRS机制为税务机关获取居民境外资产信息提供了重要渠道。在“以数治税”的改革背景下，通过完善“一人式”税费信息归集系统，并扩大CRS信息交换网络，将有效提升跨境税源监管能力。未来随着美国可能加入CRS，全球税收透明度将进一步提升，跨国资产税务将面临更严格的监管环境。</w:t>
      </w:r>
      <w:r w:rsidRPr="00282199">
        <w:rPr>
          <w:rFonts w:ascii="仿宋" w:eastAsia="仿宋" w:hAnsi="仿宋"/>
          <w:sz w:val="24"/>
          <w:szCs w:val="24"/>
        </w:rPr>
        <w:br/>
      </w:r>
    </w:p>
    <w:p w14:paraId="3E931203" w14:textId="523F7DDF" w:rsidR="00282199" w:rsidRPr="00282199" w:rsidRDefault="00282199" w:rsidP="00282199">
      <w:pPr>
        <w:rPr>
          <w:rFonts w:ascii="仿宋" w:eastAsia="仿宋" w:hAnsi="仿宋" w:hint="eastAsia"/>
          <w:sz w:val="24"/>
          <w:szCs w:val="24"/>
        </w:rPr>
      </w:pPr>
      <w:r w:rsidRPr="00282199">
        <w:rPr>
          <w:rFonts w:ascii="仿宋" w:eastAsia="仿宋" w:hAnsi="仿宋"/>
          <w:b/>
          <w:bCs/>
          <w:sz w:val="24"/>
          <w:szCs w:val="24"/>
        </w:rPr>
        <w:t>（二）欧盟AEOI标准</w:t>
      </w:r>
      <w:r w:rsidRPr="00282199">
        <w:rPr>
          <w:rFonts w:ascii="仿宋" w:eastAsia="仿宋" w:hAnsi="仿宋"/>
          <w:sz w:val="24"/>
          <w:szCs w:val="24"/>
        </w:rPr>
        <w:br/>
      </w:r>
    </w:p>
    <w:p w14:paraId="0895223A" w14:textId="0E1402EF"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AEOI（金融账户涉税信息自动交换标准）是经合组织于2014年出台的金融账户涉税信息自动交换标准，由主管当局间协议范本（MCAA）和通用报告标准（CRS）两部分构成。AEOI是基于全球范围内逃税问题日渐严峻的大背景而产生的，其核心目标是通过建立统一的金融账户涉税信息自动交换标准，实现对跨境</w:t>
      </w:r>
      <w:proofErr w:type="gramStart"/>
      <w:r w:rsidRPr="00282199">
        <w:rPr>
          <w:rFonts w:ascii="仿宋" w:eastAsia="仿宋" w:hAnsi="仿宋"/>
          <w:sz w:val="24"/>
          <w:szCs w:val="24"/>
        </w:rPr>
        <w:t>逃避税</w:t>
      </w:r>
      <w:proofErr w:type="gramEnd"/>
      <w:r w:rsidRPr="00282199">
        <w:rPr>
          <w:rFonts w:ascii="仿宋" w:eastAsia="仿宋" w:hAnsi="仿宋"/>
          <w:sz w:val="24"/>
          <w:szCs w:val="24"/>
        </w:rPr>
        <w:t>的全球税务监管。</w:t>
      </w:r>
    </w:p>
    <w:p w14:paraId="559A3F64" w14:textId="7F914C60"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具体而言，MCAA是各个国家税务当局进行信息交换的法律框架和操作标准，而CRS则明确了金融机构在尽职调查方面的具体要求及其汇报义务。根据CRS的规定，金融机构需要识别非居民账户的持有者，并判断其税收居民身份，随后定期报送至本国税务机关。就中国居民在瑞士的账户而言，瑞士税务当局会依据AEOI标准，将中国居民账户的信息交换至我国税务当局。</w:t>
      </w:r>
    </w:p>
    <w:p w14:paraId="2E16B258" w14:textId="26589A6D"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该标准的公布对国际上金融保密制度的影响巨大。以传统的瑞士银行保密制度为例，AEOI的推行对其造成巨大冲击，瑞士联邦税务管理局已经与全世界众多国家签署金融账户资料信息自动交换，要求其国内金融机构遵守新的国际报告标准。瑞士在国际税收透明化趋势下的适应与转变，为全世界提高了税收透明度提供了借鉴与参考。</w:t>
      </w:r>
    </w:p>
    <w:p w14:paraId="1077DAC5" w14:textId="32BE50D6" w:rsid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对于纳税人而言，AEOI的适用意味着纳税人的海外金融资产将面临更高的披露要求，即纳税人必须真实地披露其海外金融账户，满足各个管辖区的合</w:t>
      </w:r>
      <w:proofErr w:type="gramStart"/>
      <w:r w:rsidRPr="00282199">
        <w:rPr>
          <w:rFonts w:ascii="仿宋" w:eastAsia="仿宋" w:hAnsi="仿宋"/>
          <w:sz w:val="24"/>
          <w:szCs w:val="24"/>
        </w:rPr>
        <w:t>规</w:t>
      </w:r>
      <w:proofErr w:type="gramEnd"/>
      <w:r w:rsidRPr="00282199">
        <w:rPr>
          <w:rFonts w:ascii="仿宋" w:eastAsia="仿宋" w:hAnsi="仿宋"/>
          <w:sz w:val="24"/>
          <w:szCs w:val="24"/>
        </w:rPr>
        <w:t>要求。随着AEOI在国际上不断扩围，国际税收网络正在逐步搭建，对于打击跨境避税而言，无疑提供了可靠、可依的机制支持。</w:t>
      </w:r>
    </w:p>
    <w:p w14:paraId="2EB0AAD8" w14:textId="77777777" w:rsidR="003752A2" w:rsidRPr="00282199" w:rsidRDefault="003752A2" w:rsidP="003752A2">
      <w:pPr>
        <w:ind w:firstLineChars="200" w:firstLine="480"/>
        <w:rPr>
          <w:rFonts w:ascii="仿宋" w:eastAsia="仿宋" w:hAnsi="仿宋" w:hint="eastAsia"/>
          <w:sz w:val="24"/>
          <w:szCs w:val="24"/>
        </w:rPr>
      </w:pPr>
    </w:p>
    <w:p w14:paraId="61107AC7" w14:textId="77777777" w:rsidR="00282199" w:rsidRPr="00282199" w:rsidRDefault="00282199" w:rsidP="00282199">
      <w:pPr>
        <w:rPr>
          <w:rFonts w:ascii="仿宋" w:eastAsia="仿宋" w:hAnsi="仿宋" w:hint="eastAsia"/>
          <w:sz w:val="24"/>
          <w:szCs w:val="24"/>
        </w:rPr>
      </w:pPr>
      <w:r w:rsidRPr="00282199">
        <w:rPr>
          <w:rFonts w:ascii="仿宋" w:eastAsia="仿宋" w:hAnsi="仿宋"/>
          <w:b/>
          <w:bCs/>
          <w:sz w:val="24"/>
          <w:szCs w:val="24"/>
        </w:rPr>
        <w:t>（三）英国税务管理</w:t>
      </w:r>
    </w:p>
    <w:p w14:paraId="5042FB82" w14:textId="77777777" w:rsidR="00282199" w:rsidRPr="00282199" w:rsidRDefault="00282199" w:rsidP="00282199">
      <w:pPr>
        <w:rPr>
          <w:rFonts w:ascii="仿宋" w:eastAsia="仿宋" w:hAnsi="仿宋" w:hint="eastAsia"/>
          <w:sz w:val="24"/>
          <w:szCs w:val="24"/>
        </w:rPr>
      </w:pPr>
      <w:r w:rsidRPr="00282199">
        <w:rPr>
          <w:rFonts w:ascii="仿宋" w:eastAsia="仿宋" w:hAnsi="仿宋"/>
          <w:sz w:val="24"/>
          <w:szCs w:val="24"/>
        </w:rPr>
        <w:br/>
      </w:r>
    </w:p>
    <w:p w14:paraId="34B7948D" w14:textId="77777777" w:rsidR="00282199" w:rsidRPr="00282199" w:rsidRDefault="00282199" w:rsidP="00282199">
      <w:pPr>
        <w:rPr>
          <w:rFonts w:ascii="仿宋" w:eastAsia="仿宋" w:hAnsi="仿宋" w:hint="eastAsia"/>
          <w:sz w:val="24"/>
          <w:szCs w:val="24"/>
        </w:rPr>
      </w:pPr>
      <w:r w:rsidRPr="00282199">
        <w:rPr>
          <w:rFonts w:ascii="仿宋" w:eastAsia="仿宋" w:hAnsi="仿宋"/>
          <w:sz w:val="24"/>
          <w:szCs w:val="24"/>
        </w:rPr>
        <w:t>1.英国纳税申报表</w:t>
      </w:r>
    </w:p>
    <w:p w14:paraId="01CAB566" w14:textId="4A96EF71" w:rsidR="00282199" w:rsidRPr="00282199" w:rsidRDefault="00282199" w:rsidP="00282199">
      <w:pPr>
        <w:rPr>
          <w:rFonts w:ascii="仿宋" w:eastAsia="仿宋" w:hAnsi="仿宋" w:hint="eastAsia"/>
          <w:sz w:val="24"/>
          <w:szCs w:val="24"/>
        </w:rPr>
      </w:pPr>
    </w:p>
    <w:p w14:paraId="3888048B" w14:textId="333A6DC2"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目前英国实行自我评估（SA）税收制度。在该制度下，多数英国纳税人无需进一步申报，通过源头预扣的收入和储蓄税款来缴纳纳税。但约三分之一的纳税人需完成纳税申报表，该纳税申报表由英国税务海关总署（HMRC，英国政府税收征管和海关事务的核心机构）每年发布。已婚及民事伴侣关系中的纳税人独立纳税并负责自己的事务，同时每个人提交各自的申报表。</w:t>
      </w:r>
    </w:p>
    <w:p w14:paraId="552323C2" w14:textId="77777777"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英国纳税年度从4月6日开始，至次年4月5日结束。纳税申报表或者未缴纳税款须在纳税年度结束后的1月31日之前提交或者支付。对于以纸质方式申报的个人，此次申报截止日期将提前到纳税年度结束后的10月31日（税款仍须在1月31日之前缴纳）。英国SA系统正逐步转向完全在线模式发展，从而仅在有限的情况下接受纸质申报表。</w:t>
      </w:r>
    </w:p>
    <w:p w14:paraId="1A27DC53" w14:textId="639169BD"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英国居民处置不受资本利得税（Capital Gains Tax, CGT）主要居所减免覆盖的英国财产，或非英国居民出售英国财产丰厚的公司权益，须在出售后60日内通知英国税务海关总署（HMRC）。如果错过此期限，即使无应缴税款，也将被收取罚款。</w:t>
      </w:r>
      <w:r w:rsidRPr="00282199">
        <w:rPr>
          <w:rFonts w:ascii="仿宋" w:eastAsia="仿宋" w:hAnsi="仿宋"/>
          <w:sz w:val="24"/>
          <w:szCs w:val="24"/>
        </w:rPr>
        <w:br/>
      </w:r>
    </w:p>
    <w:p w14:paraId="4883ECEB" w14:textId="5C9275B0" w:rsidR="00282199" w:rsidRPr="00282199" w:rsidRDefault="00282199" w:rsidP="00282199">
      <w:pPr>
        <w:rPr>
          <w:rFonts w:ascii="仿宋" w:eastAsia="仿宋" w:hAnsi="仿宋" w:hint="eastAsia"/>
          <w:sz w:val="24"/>
          <w:szCs w:val="24"/>
        </w:rPr>
      </w:pPr>
      <w:r w:rsidRPr="00282199">
        <w:rPr>
          <w:rFonts w:ascii="仿宋" w:eastAsia="仿宋" w:hAnsi="仿宋"/>
          <w:sz w:val="24"/>
          <w:szCs w:val="24"/>
        </w:rPr>
        <w:t>2.实现所得税自我评估（MTDITSA）的税务数字化</w:t>
      </w:r>
      <w:r w:rsidRPr="00282199">
        <w:rPr>
          <w:rFonts w:ascii="仿宋" w:eastAsia="仿宋" w:hAnsi="仿宋"/>
          <w:sz w:val="24"/>
          <w:szCs w:val="24"/>
        </w:rPr>
        <w:br/>
      </w:r>
    </w:p>
    <w:p w14:paraId="262B55B4" w14:textId="5A302509"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目前在自我评估纳税申报表的土地和财产页面、自雇页面和外国页面的财产部分报告收入的英国纳税人，将需根据MTDITSA进入新的报告制度。新制度包括强制性数字记录保存和就符合条件的收入来源提交季度更新。MTDITSA来源和所有其他收入仍需年终申报表。</w:t>
      </w:r>
      <w:r w:rsidRPr="00282199">
        <w:rPr>
          <w:rFonts w:ascii="仿宋" w:eastAsia="仿宋" w:hAnsi="仿宋"/>
          <w:sz w:val="24"/>
          <w:szCs w:val="24"/>
        </w:rPr>
        <w:br/>
      </w:r>
    </w:p>
    <w:p w14:paraId="3F3394CF" w14:textId="0409AF6D" w:rsidR="00282199" w:rsidRPr="00282199" w:rsidRDefault="00282199" w:rsidP="00282199">
      <w:pPr>
        <w:rPr>
          <w:rFonts w:ascii="仿宋" w:eastAsia="仿宋" w:hAnsi="仿宋" w:hint="eastAsia"/>
          <w:sz w:val="24"/>
          <w:szCs w:val="24"/>
        </w:rPr>
      </w:pPr>
      <w:r w:rsidRPr="00282199">
        <w:rPr>
          <w:rFonts w:ascii="仿宋" w:eastAsia="仿宋" w:hAnsi="仿宋"/>
          <w:b/>
          <w:bCs/>
          <w:sz w:val="24"/>
          <w:szCs w:val="24"/>
        </w:rPr>
        <w:t>四、高净值人群应对涉税合</w:t>
      </w:r>
      <w:proofErr w:type="gramStart"/>
      <w:r w:rsidRPr="00282199">
        <w:rPr>
          <w:rFonts w:ascii="仿宋" w:eastAsia="仿宋" w:hAnsi="仿宋"/>
          <w:b/>
          <w:bCs/>
          <w:sz w:val="24"/>
          <w:szCs w:val="24"/>
        </w:rPr>
        <w:t>规</w:t>
      </w:r>
      <w:proofErr w:type="gramEnd"/>
      <w:r w:rsidRPr="00282199">
        <w:rPr>
          <w:rFonts w:ascii="仿宋" w:eastAsia="仿宋" w:hAnsi="仿宋"/>
          <w:b/>
          <w:bCs/>
          <w:sz w:val="24"/>
          <w:szCs w:val="24"/>
        </w:rPr>
        <w:t>的策略与步骤</w:t>
      </w:r>
      <w:r w:rsidRPr="00282199">
        <w:rPr>
          <w:rFonts w:ascii="仿宋" w:eastAsia="仿宋" w:hAnsi="仿宋"/>
          <w:sz w:val="24"/>
          <w:szCs w:val="24"/>
        </w:rPr>
        <w:br/>
      </w:r>
    </w:p>
    <w:p w14:paraId="1CAAAA81" w14:textId="029BA452" w:rsidR="00282199" w:rsidRPr="00282199" w:rsidRDefault="00282199" w:rsidP="00282199">
      <w:pPr>
        <w:rPr>
          <w:rFonts w:ascii="仿宋" w:eastAsia="仿宋" w:hAnsi="仿宋" w:hint="eastAsia"/>
          <w:sz w:val="24"/>
          <w:szCs w:val="24"/>
        </w:rPr>
      </w:pPr>
      <w:r w:rsidRPr="00282199">
        <w:rPr>
          <w:rFonts w:ascii="仿宋" w:eastAsia="仿宋" w:hAnsi="仿宋"/>
          <w:b/>
          <w:bCs/>
          <w:sz w:val="24"/>
          <w:szCs w:val="24"/>
        </w:rPr>
        <w:t>（一）全面税务自查自纠</w:t>
      </w:r>
      <w:r w:rsidRPr="00282199">
        <w:rPr>
          <w:rFonts w:ascii="仿宋" w:eastAsia="仿宋" w:hAnsi="仿宋"/>
          <w:sz w:val="24"/>
          <w:szCs w:val="24"/>
        </w:rPr>
        <w:br/>
      </w:r>
    </w:p>
    <w:p w14:paraId="131CE75A" w14:textId="27FB885A"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高净值人士税务合</w:t>
      </w:r>
      <w:proofErr w:type="gramStart"/>
      <w:r w:rsidRPr="00282199">
        <w:rPr>
          <w:rFonts w:ascii="仿宋" w:eastAsia="仿宋" w:hAnsi="仿宋"/>
          <w:sz w:val="24"/>
          <w:szCs w:val="24"/>
        </w:rPr>
        <w:t>规</w:t>
      </w:r>
      <w:proofErr w:type="gramEnd"/>
      <w:r w:rsidRPr="00282199">
        <w:rPr>
          <w:rFonts w:ascii="仿宋" w:eastAsia="仿宋" w:hAnsi="仿宋"/>
          <w:sz w:val="24"/>
          <w:szCs w:val="24"/>
        </w:rPr>
        <w:t>工作的有效展开，须建立在全面、规范、认真的自查自检自</w:t>
      </w:r>
      <w:proofErr w:type="gramStart"/>
      <w:r w:rsidRPr="00282199">
        <w:rPr>
          <w:rFonts w:ascii="仿宋" w:eastAsia="仿宋" w:hAnsi="仿宋"/>
          <w:sz w:val="24"/>
          <w:szCs w:val="24"/>
        </w:rPr>
        <w:t>纠基础</w:t>
      </w:r>
      <w:proofErr w:type="gramEnd"/>
      <w:r w:rsidRPr="00282199">
        <w:rPr>
          <w:rFonts w:ascii="仿宋" w:eastAsia="仿宋" w:hAnsi="仿宋"/>
          <w:sz w:val="24"/>
          <w:szCs w:val="24"/>
        </w:rPr>
        <w:t>之上，以确保涉税信息的完整性、准确性，有效降低涉税风险的产生。主要流程及要点包括但不限于：</w:t>
      </w:r>
      <w:r w:rsidRPr="00282199">
        <w:rPr>
          <w:rFonts w:ascii="仿宋" w:eastAsia="仿宋" w:hAnsi="仿宋"/>
          <w:sz w:val="24"/>
          <w:szCs w:val="24"/>
        </w:rPr>
        <w:br/>
      </w:r>
    </w:p>
    <w:p w14:paraId="090FCBDB" w14:textId="77AA9EC4" w:rsidR="00282199" w:rsidRPr="00282199" w:rsidRDefault="00282199" w:rsidP="00282199">
      <w:pPr>
        <w:rPr>
          <w:rFonts w:ascii="仿宋" w:eastAsia="仿宋" w:hAnsi="仿宋" w:hint="eastAsia"/>
          <w:sz w:val="24"/>
          <w:szCs w:val="24"/>
        </w:rPr>
      </w:pPr>
      <w:r w:rsidRPr="00282199">
        <w:rPr>
          <w:rFonts w:ascii="仿宋" w:eastAsia="仿宋" w:hAnsi="仿宋"/>
          <w:sz w:val="24"/>
          <w:szCs w:val="24"/>
        </w:rPr>
        <w:t>1.收集账户信息</w:t>
      </w:r>
      <w:r w:rsidRPr="00282199">
        <w:rPr>
          <w:rFonts w:ascii="仿宋" w:eastAsia="仿宋" w:hAnsi="仿宋"/>
          <w:sz w:val="24"/>
          <w:szCs w:val="24"/>
        </w:rPr>
        <w:br/>
      </w:r>
    </w:p>
    <w:p w14:paraId="79A32788" w14:textId="6799AD47"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税务自查的首要步骤，在于对个人及其关联方的各类银行账户和交易情况进行全面、系统的整理工作，确保所有税务相关数据的可追溯和</w:t>
      </w:r>
      <w:proofErr w:type="gramStart"/>
      <w:r w:rsidRPr="00282199">
        <w:rPr>
          <w:rFonts w:ascii="仿宋" w:eastAsia="仿宋" w:hAnsi="仿宋"/>
          <w:sz w:val="24"/>
          <w:szCs w:val="24"/>
        </w:rPr>
        <w:t>可</w:t>
      </w:r>
      <w:proofErr w:type="gramEnd"/>
      <w:r w:rsidRPr="00282199">
        <w:rPr>
          <w:rFonts w:ascii="仿宋" w:eastAsia="仿宋" w:hAnsi="仿宋"/>
          <w:sz w:val="24"/>
          <w:szCs w:val="24"/>
        </w:rPr>
        <w:t>考证性。账户类信息归集包括但不限于银行账户、证券账户、信托账户以及互联网数字账户等，其中尤其需注意长期未被使用的“休眠账户”。</w:t>
      </w:r>
      <w:r w:rsidRPr="00282199">
        <w:rPr>
          <w:rFonts w:ascii="仿宋" w:eastAsia="仿宋" w:hAnsi="仿宋"/>
          <w:sz w:val="24"/>
          <w:szCs w:val="24"/>
        </w:rPr>
        <w:br/>
      </w:r>
    </w:p>
    <w:p w14:paraId="75F14CA0" w14:textId="0D99622D" w:rsidR="00282199" w:rsidRPr="00282199" w:rsidRDefault="00282199" w:rsidP="00282199">
      <w:pPr>
        <w:rPr>
          <w:rFonts w:ascii="仿宋" w:eastAsia="仿宋" w:hAnsi="仿宋" w:hint="eastAsia"/>
          <w:sz w:val="24"/>
          <w:szCs w:val="24"/>
        </w:rPr>
      </w:pPr>
      <w:r w:rsidRPr="00282199">
        <w:rPr>
          <w:rFonts w:ascii="仿宋" w:eastAsia="仿宋" w:hAnsi="仿宋"/>
          <w:sz w:val="24"/>
          <w:szCs w:val="24"/>
        </w:rPr>
        <w:t>2.交易记录整理</w:t>
      </w:r>
      <w:r w:rsidRPr="00282199">
        <w:rPr>
          <w:rFonts w:ascii="仿宋" w:eastAsia="仿宋" w:hAnsi="仿宋"/>
          <w:sz w:val="24"/>
          <w:szCs w:val="24"/>
        </w:rPr>
        <w:br/>
      </w:r>
    </w:p>
    <w:p w14:paraId="64A5C642" w14:textId="5058029B"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此后，需</w:t>
      </w:r>
      <w:proofErr w:type="gramStart"/>
      <w:r w:rsidRPr="00282199">
        <w:rPr>
          <w:rFonts w:ascii="仿宋" w:eastAsia="仿宋" w:hAnsi="仿宋"/>
          <w:sz w:val="24"/>
          <w:szCs w:val="24"/>
        </w:rPr>
        <w:t>调阅近</w:t>
      </w:r>
      <w:proofErr w:type="gramEnd"/>
      <w:r w:rsidRPr="00282199">
        <w:rPr>
          <w:rFonts w:ascii="仿宋" w:eastAsia="仿宋" w:hAnsi="仿宋"/>
          <w:sz w:val="24"/>
          <w:szCs w:val="24"/>
        </w:rPr>
        <w:t>5年的资金流动明细，重点排查大额资金进出、涉外资金往来、关联方交易、异常收入或支出情况。深入核查与控股股东、实际控制人及其</w:t>
      </w:r>
      <w:r w:rsidRPr="00282199">
        <w:rPr>
          <w:rFonts w:ascii="仿宋" w:eastAsia="仿宋" w:hAnsi="仿宋"/>
          <w:sz w:val="24"/>
          <w:szCs w:val="24"/>
        </w:rPr>
        <w:lastRenderedPageBreak/>
        <w:t>控制或施加重大影响的关联方之间的关联交易情况；重点关注关联交易定价是否符合独立交易原则和市场公允价格。此外，需排查明显偏离个人或企业正常经营与财务状况的异常收入或者支出项目，而对于不动产、股权、艺术品等非货币性资产买卖交易，还需逐一核对申报税种及税额。</w:t>
      </w:r>
      <w:r w:rsidRPr="00282199">
        <w:rPr>
          <w:rFonts w:ascii="仿宋" w:eastAsia="仿宋" w:hAnsi="仿宋"/>
          <w:sz w:val="24"/>
          <w:szCs w:val="24"/>
        </w:rPr>
        <w:br/>
      </w:r>
    </w:p>
    <w:p w14:paraId="7B7EE149" w14:textId="5B68DF3B" w:rsidR="00282199" w:rsidRPr="00282199" w:rsidRDefault="00282199" w:rsidP="00282199">
      <w:pPr>
        <w:rPr>
          <w:rFonts w:ascii="仿宋" w:eastAsia="仿宋" w:hAnsi="仿宋" w:hint="eastAsia"/>
          <w:sz w:val="24"/>
          <w:szCs w:val="24"/>
        </w:rPr>
      </w:pPr>
      <w:r w:rsidRPr="00282199">
        <w:rPr>
          <w:rFonts w:ascii="仿宋" w:eastAsia="仿宋" w:hAnsi="仿宋"/>
          <w:b/>
          <w:bCs/>
          <w:sz w:val="24"/>
          <w:szCs w:val="24"/>
        </w:rPr>
        <w:t>（二）核对申报数据的准确性</w:t>
      </w:r>
      <w:r w:rsidRPr="00282199">
        <w:rPr>
          <w:rFonts w:ascii="仿宋" w:eastAsia="仿宋" w:hAnsi="仿宋"/>
          <w:sz w:val="24"/>
          <w:szCs w:val="24"/>
        </w:rPr>
        <w:br/>
      </w:r>
    </w:p>
    <w:p w14:paraId="4B345107" w14:textId="33AE4CDB"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在不损失数据完整性的同时，进一步检查申报的税务数据，主要检查内容有以下几个方面：</w:t>
      </w:r>
      <w:r w:rsidRPr="00282199">
        <w:rPr>
          <w:rFonts w:ascii="仿宋" w:eastAsia="仿宋" w:hAnsi="仿宋"/>
          <w:sz w:val="24"/>
          <w:szCs w:val="24"/>
        </w:rPr>
        <w:br/>
      </w:r>
    </w:p>
    <w:p w14:paraId="31155991" w14:textId="77777777" w:rsidR="00282199" w:rsidRPr="00282199" w:rsidRDefault="00282199" w:rsidP="00282199">
      <w:pPr>
        <w:rPr>
          <w:rFonts w:ascii="仿宋" w:eastAsia="仿宋" w:hAnsi="仿宋" w:hint="eastAsia"/>
          <w:sz w:val="24"/>
          <w:szCs w:val="24"/>
        </w:rPr>
      </w:pPr>
      <w:r w:rsidRPr="00282199">
        <w:rPr>
          <w:rFonts w:ascii="仿宋" w:eastAsia="仿宋" w:hAnsi="仿宋"/>
          <w:b/>
          <w:bCs/>
          <w:sz w:val="24"/>
          <w:szCs w:val="24"/>
        </w:rPr>
        <w:t>（三）评估涉税风险等级</w:t>
      </w:r>
    </w:p>
    <w:p w14:paraId="1B19CD92" w14:textId="40C72D2C" w:rsidR="00282199" w:rsidRPr="00282199" w:rsidRDefault="00282199" w:rsidP="00282199">
      <w:pPr>
        <w:rPr>
          <w:rFonts w:ascii="仿宋" w:eastAsia="仿宋" w:hAnsi="仿宋" w:hint="eastAsia"/>
          <w:sz w:val="24"/>
          <w:szCs w:val="24"/>
        </w:rPr>
      </w:pPr>
    </w:p>
    <w:p w14:paraId="5F77104C" w14:textId="50D7243A"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根据自查结果，对涉税风险进行分级管理并制定针对性应对策略：</w:t>
      </w:r>
    </w:p>
    <w:p w14:paraId="579642D4" w14:textId="50992FD2"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高（重点）风险项目：对于隐匿收入、收入申报不实类高风险事项，应及时组织专业团队核算相关财务数据和交易记录，计算应补缴的税款及滞纳金金额。此外，深入研究税务部门的相关政策法规，判断是否符合主动公开制度，若符合则应积极主动向税务部门说明情况并补缴税款，争取从轻处罚。</w:t>
      </w:r>
    </w:p>
    <w:p w14:paraId="0B73DC45" w14:textId="02EB2B27"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中低风险项目：针对政策理解失误、申报错误等中低风险项目，应及时寻求政策专业服务机构的支持，为后续处理或纠纷解决提供依据。</w:t>
      </w:r>
    </w:p>
    <w:p w14:paraId="087FCE42" w14:textId="2D108E56" w:rsid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建立动态监控机制：通过全面的数据采集、数据核实和数据分析，查找出潜在的纳税风险点，及时整改，为后续纳税计划和申报修正提供坚实基础。同时，自查环节应充分吸纳专业团队的加入，充分借助其丰厚经验和专业工具，将风险控制在合法合理的范围内。</w:t>
      </w:r>
    </w:p>
    <w:p w14:paraId="50F42DD2" w14:textId="77777777" w:rsidR="003752A2" w:rsidRPr="00282199" w:rsidRDefault="003752A2" w:rsidP="003752A2">
      <w:pPr>
        <w:ind w:firstLineChars="200" w:firstLine="480"/>
        <w:rPr>
          <w:rFonts w:ascii="仿宋" w:eastAsia="仿宋" w:hAnsi="仿宋" w:hint="eastAsia"/>
          <w:sz w:val="24"/>
          <w:szCs w:val="24"/>
        </w:rPr>
      </w:pPr>
    </w:p>
    <w:p w14:paraId="08483481" w14:textId="428EA6A2" w:rsidR="00282199" w:rsidRPr="00282199" w:rsidRDefault="00282199" w:rsidP="00282199">
      <w:pPr>
        <w:rPr>
          <w:rFonts w:ascii="仿宋" w:eastAsia="仿宋" w:hAnsi="仿宋" w:hint="eastAsia"/>
          <w:sz w:val="24"/>
          <w:szCs w:val="24"/>
        </w:rPr>
      </w:pPr>
      <w:r w:rsidRPr="00282199">
        <w:rPr>
          <w:rFonts w:ascii="仿宋" w:eastAsia="仿宋" w:hAnsi="仿宋"/>
          <w:b/>
          <w:bCs/>
          <w:sz w:val="24"/>
          <w:szCs w:val="24"/>
        </w:rPr>
        <w:t>（四）合法利用税收优惠政策</w:t>
      </w:r>
      <w:r w:rsidRPr="00282199">
        <w:rPr>
          <w:rFonts w:ascii="仿宋" w:eastAsia="仿宋" w:hAnsi="仿宋"/>
          <w:sz w:val="24"/>
          <w:szCs w:val="24"/>
        </w:rPr>
        <w:br/>
      </w:r>
    </w:p>
    <w:p w14:paraId="50D0E4FC" w14:textId="759B6A6B" w:rsidR="00282199" w:rsidRPr="00282199" w:rsidRDefault="00282199" w:rsidP="00282199">
      <w:pPr>
        <w:rPr>
          <w:rFonts w:ascii="仿宋" w:eastAsia="仿宋" w:hAnsi="仿宋" w:hint="eastAsia"/>
          <w:sz w:val="24"/>
          <w:szCs w:val="24"/>
        </w:rPr>
      </w:pPr>
      <w:r w:rsidRPr="00282199">
        <w:rPr>
          <w:rFonts w:ascii="仿宋" w:eastAsia="仿宋" w:hAnsi="仿宋"/>
          <w:sz w:val="24"/>
          <w:szCs w:val="24"/>
        </w:rPr>
        <w:t>1.合理规划税收居民身份</w:t>
      </w:r>
      <w:r w:rsidRPr="00282199">
        <w:rPr>
          <w:rFonts w:ascii="仿宋" w:eastAsia="仿宋" w:hAnsi="仿宋"/>
          <w:sz w:val="24"/>
          <w:szCs w:val="24"/>
        </w:rPr>
        <w:br/>
      </w:r>
    </w:p>
    <w:p w14:paraId="4A4B9BCE" w14:textId="664E7558"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税收居民税收身份的认定通常是综合个人的生活、工作、居住等综合事实情况。因此，在进行家庭事业发展的整体规划时，应</w:t>
      </w:r>
      <w:proofErr w:type="gramStart"/>
      <w:r w:rsidRPr="00282199">
        <w:rPr>
          <w:rFonts w:ascii="仿宋" w:eastAsia="仿宋" w:hAnsi="仿宋"/>
          <w:sz w:val="24"/>
          <w:szCs w:val="24"/>
        </w:rPr>
        <w:t>结合高</w:t>
      </w:r>
      <w:proofErr w:type="gramEnd"/>
      <w:r w:rsidRPr="00282199">
        <w:rPr>
          <w:rFonts w:ascii="仿宋" w:eastAsia="仿宋" w:hAnsi="仿宋"/>
          <w:sz w:val="24"/>
          <w:szCs w:val="24"/>
        </w:rPr>
        <w:t>净值人士个人及其主要家庭成员的国别和永久居民身份情况，妥善规划税收居民身份，方能有效避免税收居民身份不合理的重复征税。</w:t>
      </w:r>
      <w:r w:rsidRPr="00282199">
        <w:rPr>
          <w:rFonts w:ascii="仿宋" w:eastAsia="仿宋" w:hAnsi="仿宋"/>
          <w:sz w:val="24"/>
          <w:szCs w:val="24"/>
        </w:rPr>
        <w:br/>
      </w:r>
    </w:p>
    <w:p w14:paraId="4540B135" w14:textId="6AF88F27" w:rsidR="00282199" w:rsidRPr="00282199" w:rsidRDefault="00282199" w:rsidP="00282199">
      <w:pPr>
        <w:rPr>
          <w:rFonts w:ascii="仿宋" w:eastAsia="仿宋" w:hAnsi="仿宋" w:hint="eastAsia"/>
          <w:sz w:val="24"/>
          <w:szCs w:val="24"/>
        </w:rPr>
      </w:pPr>
      <w:r w:rsidRPr="00282199">
        <w:rPr>
          <w:rFonts w:ascii="仿宋" w:eastAsia="仿宋" w:hAnsi="仿宋"/>
          <w:sz w:val="24"/>
          <w:szCs w:val="24"/>
        </w:rPr>
        <w:t>2.第三国护照和税务规划</w:t>
      </w:r>
      <w:r w:rsidRPr="00282199">
        <w:rPr>
          <w:rFonts w:ascii="仿宋" w:eastAsia="仿宋" w:hAnsi="仿宋"/>
          <w:sz w:val="24"/>
          <w:szCs w:val="24"/>
        </w:rPr>
        <w:br/>
      </w:r>
    </w:p>
    <w:p w14:paraId="3807701A" w14:textId="5C98B15E"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近年来，利用第三国护照进行资产规划和税务计划已经成为一种新趋势。许多知名企业家均通过合理利用多国护照优化商业布局，推动公司上市或出海。面对CRS的全面监管，中国高净值人群在依法纳税的同时，也需要提前做好税务计划，以应对潜在的税务挑战。</w:t>
      </w:r>
      <w:r w:rsidRPr="00282199">
        <w:rPr>
          <w:rFonts w:ascii="仿宋" w:eastAsia="仿宋" w:hAnsi="仿宋"/>
          <w:sz w:val="24"/>
          <w:szCs w:val="24"/>
        </w:rPr>
        <w:br/>
      </w:r>
    </w:p>
    <w:p w14:paraId="74763E93" w14:textId="68D95A0F" w:rsidR="00282199" w:rsidRPr="00282199" w:rsidRDefault="00282199" w:rsidP="00282199">
      <w:pPr>
        <w:rPr>
          <w:rFonts w:ascii="仿宋" w:eastAsia="仿宋" w:hAnsi="仿宋" w:hint="eastAsia"/>
          <w:sz w:val="24"/>
          <w:szCs w:val="24"/>
        </w:rPr>
      </w:pPr>
      <w:r w:rsidRPr="00282199">
        <w:rPr>
          <w:rFonts w:ascii="仿宋" w:eastAsia="仿宋" w:hAnsi="仿宋"/>
          <w:b/>
          <w:bCs/>
          <w:sz w:val="24"/>
          <w:szCs w:val="24"/>
        </w:rPr>
        <w:t>（五）重新评估与调整资产配置</w:t>
      </w:r>
      <w:r w:rsidRPr="00282199">
        <w:rPr>
          <w:rFonts w:ascii="仿宋" w:eastAsia="仿宋" w:hAnsi="仿宋"/>
          <w:sz w:val="24"/>
          <w:szCs w:val="24"/>
        </w:rPr>
        <w:br/>
      </w:r>
    </w:p>
    <w:p w14:paraId="24DB2F38" w14:textId="7560D567"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高净值人群应定期评估资产状况，并根据税务合</w:t>
      </w:r>
      <w:proofErr w:type="gramStart"/>
      <w:r w:rsidRPr="00282199">
        <w:rPr>
          <w:rFonts w:ascii="仿宋" w:eastAsia="仿宋" w:hAnsi="仿宋"/>
          <w:sz w:val="24"/>
          <w:szCs w:val="24"/>
        </w:rPr>
        <w:t>规</w:t>
      </w:r>
      <w:proofErr w:type="gramEnd"/>
      <w:r w:rsidRPr="00282199">
        <w:rPr>
          <w:rFonts w:ascii="仿宋" w:eastAsia="仿宋" w:hAnsi="仿宋"/>
          <w:sz w:val="24"/>
          <w:szCs w:val="24"/>
        </w:rPr>
        <w:t>要求和资产配置目标，对资产配置进行合理调整。具体措施包括：</w:t>
      </w:r>
      <w:r w:rsidRPr="00282199">
        <w:rPr>
          <w:rFonts w:ascii="仿宋" w:eastAsia="仿宋" w:hAnsi="仿宋"/>
          <w:sz w:val="24"/>
          <w:szCs w:val="24"/>
        </w:rPr>
        <w:br/>
      </w:r>
    </w:p>
    <w:p w14:paraId="67243F49" w14:textId="1EE7B619" w:rsidR="00282199" w:rsidRPr="00282199" w:rsidRDefault="00282199" w:rsidP="00282199">
      <w:pPr>
        <w:rPr>
          <w:rFonts w:ascii="仿宋" w:eastAsia="仿宋" w:hAnsi="仿宋" w:hint="eastAsia"/>
          <w:sz w:val="24"/>
          <w:szCs w:val="24"/>
        </w:rPr>
      </w:pPr>
      <w:r w:rsidRPr="00282199">
        <w:rPr>
          <w:rFonts w:ascii="仿宋" w:eastAsia="仿宋" w:hAnsi="仿宋"/>
          <w:sz w:val="24"/>
          <w:szCs w:val="24"/>
        </w:rPr>
        <w:t>1.非金融资产投资</w:t>
      </w:r>
      <w:r w:rsidRPr="00282199">
        <w:rPr>
          <w:rFonts w:ascii="仿宋" w:eastAsia="仿宋" w:hAnsi="仿宋"/>
          <w:sz w:val="24"/>
          <w:szCs w:val="24"/>
        </w:rPr>
        <w:br/>
      </w:r>
    </w:p>
    <w:p w14:paraId="3C59D593" w14:textId="3A41A34A"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高净值人群可能会投资一些非金融资产，如房产、珠宝、贵重金属、艺术品和古董等。虽然CRS主要针对金融账户，但这些非金融资产的交易和持有也可能涉及税务问题。因此，在进行非金融资产投资时，应充分了解相关税务法规，及时申报和缴纳，确保税务合</w:t>
      </w:r>
      <w:proofErr w:type="gramStart"/>
      <w:r w:rsidRPr="00282199">
        <w:rPr>
          <w:rFonts w:ascii="仿宋" w:eastAsia="仿宋" w:hAnsi="仿宋"/>
          <w:sz w:val="24"/>
          <w:szCs w:val="24"/>
        </w:rPr>
        <w:t>规</w:t>
      </w:r>
      <w:proofErr w:type="gramEnd"/>
      <w:r w:rsidRPr="00282199">
        <w:rPr>
          <w:rFonts w:ascii="仿宋" w:eastAsia="仿宋" w:hAnsi="仿宋"/>
          <w:sz w:val="24"/>
          <w:szCs w:val="24"/>
        </w:rPr>
        <w:t>。</w:t>
      </w:r>
      <w:r w:rsidRPr="00282199">
        <w:rPr>
          <w:rFonts w:ascii="仿宋" w:eastAsia="仿宋" w:hAnsi="仿宋"/>
          <w:sz w:val="24"/>
          <w:szCs w:val="24"/>
        </w:rPr>
        <w:br/>
      </w:r>
    </w:p>
    <w:p w14:paraId="41E02DFE" w14:textId="03222F4B" w:rsidR="00282199" w:rsidRPr="00282199" w:rsidRDefault="00282199" w:rsidP="00282199">
      <w:pPr>
        <w:rPr>
          <w:rFonts w:ascii="仿宋" w:eastAsia="仿宋" w:hAnsi="仿宋" w:hint="eastAsia"/>
          <w:sz w:val="24"/>
          <w:szCs w:val="24"/>
        </w:rPr>
      </w:pPr>
      <w:r w:rsidRPr="00282199">
        <w:rPr>
          <w:rFonts w:ascii="仿宋" w:eastAsia="仿宋" w:hAnsi="仿宋"/>
          <w:sz w:val="24"/>
          <w:szCs w:val="24"/>
        </w:rPr>
        <w:t>2.资产配置多元化</w:t>
      </w:r>
      <w:r w:rsidRPr="00282199">
        <w:rPr>
          <w:rFonts w:ascii="仿宋" w:eastAsia="仿宋" w:hAnsi="仿宋"/>
          <w:sz w:val="24"/>
          <w:szCs w:val="24"/>
        </w:rPr>
        <w:br/>
      </w:r>
    </w:p>
    <w:p w14:paraId="571E5180" w14:textId="517D08D1" w:rsidR="00282199" w:rsidRPr="00282199" w:rsidRDefault="00282199" w:rsidP="003752A2">
      <w:pPr>
        <w:ind w:firstLineChars="200" w:firstLine="480"/>
        <w:rPr>
          <w:rFonts w:ascii="仿宋" w:eastAsia="仿宋" w:hAnsi="仿宋" w:hint="eastAsia"/>
          <w:sz w:val="24"/>
          <w:szCs w:val="24"/>
        </w:rPr>
      </w:pPr>
      <w:r w:rsidRPr="00282199">
        <w:rPr>
          <w:rFonts w:ascii="仿宋" w:eastAsia="仿宋" w:hAnsi="仿宋"/>
          <w:sz w:val="24"/>
          <w:szCs w:val="24"/>
        </w:rPr>
        <w:t>为了降低税务风险和实现资产的稳健增值，高净值人群应考虑进行资产配置多元化。除了传统的金融资产和非金融资产外，还可以关注一些具有税务优势的投资产品，如税收优惠型保险和慈善信托等。同时，应根据不同资产的税务特点和风险收益特征，合理调整资产配置比例，从而达到优化税务负担和提升资产回报的双重目标。</w:t>
      </w:r>
      <w:r w:rsidRPr="00282199">
        <w:rPr>
          <w:rFonts w:ascii="仿宋" w:eastAsia="仿宋" w:hAnsi="仿宋"/>
          <w:sz w:val="24"/>
          <w:szCs w:val="24"/>
        </w:rPr>
        <w:br/>
      </w:r>
    </w:p>
    <w:p w14:paraId="7189B99E" w14:textId="44C81916" w:rsidR="00282199" w:rsidRPr="00282199" w:rsidRDefault="00282199" w:rsidP="00282199">
      <w:pPr>
        <w:rPr>
          <w:rFonts w:ascii="仿宋" w:eastAsia="仿宋" w:hAnsi="仿宋" w:hint="eastAsia"/>
          <w:sz w:val="24"/>
          <w:szCs w:val="24"/>
        </w:rPr>
      </w:pPr>
      <w:r w:rsidRPr="00282199">
        <w:rPr>
          <w:rFonts w:ascii="仿宋" w:eastAsia="仿宋" w:hAnsi="仿宋"/>
          <w:b/>
          <w:bCs/>
          <w:sz w:val="24"/>
          <w:szCs w:val="24"/>
        </w:rPr>
        <w:t>（六）定期跟踪税务法规变化</w:t>
      </w:r>
      <w:r w:rsidRPr="00282199">
        <w:rPr>
          <w:rFonts w:ascii="仿宋" w:eastAsia="仿宋" w:hAnsi="仿宋"/>
          <w:sz w:val="24"/>
          <w:szCs w:val="24"/>
        </w:rPr>
        <w:br/>
      </w:r>
    </w:p>
    <w:p w14:paraId="3E4174B7" w14:textId="536CF4BE" w:rsidR="00282199" w:rsidRPr="00282199" w:rsidRDefault="00282199" w:rsidP="00F15FE2">
      <w:pPr>
        <w:ind w:firstLineChars="200" w:firstLine="480"/>
        <w:rPr>
          <w:rFonts w:ascii="仿宋" w:eastAsia="仿宋" w:hAnsi="仿宋" w:hint="eastAsia"/>
          <w:sz w:val="24"/>
          <w:szCs w:val="24"/>
        </w:rPr>
      </w:pPr>
      <w:r w:rsidRPr="00282199">
        <w:rPr>
          <w:rFonts w:ascii="仿宋" w:eastAsia="仿宋" w:hAnsi="仿宋"/>
          <w:sz w:val="24"/>
          <w:szCs w:val="24"/>
        </w:rPr>
        <w:t>高净值客户应定期跟踪纳税制度，重点把握以下三个关键问题：</w:t>
      </w:r>
    </w:p>
    <w:p w14:paraId="7027727C" w14:textId="77777777" w:rsidR="00282199" w:rsidRPr="00282199" w:rsidRDefault="00282199" w:rsidP="00282199">
      <w:pPr>
        <w:rPr>
          <w:rFonts w:ascii="仿宋" w:eastAsia="仿宋" w:hAnsi="仿宋" w:hint="eastAsia"/>
          <w:sz w:val="24"/>
          <w:szCs w:val="24"/>
        </w:rPr>
      </w:pPr>
      <w:r w:rsidRPr="00282199">
        <w:rPr>
          <w:rFonts w:ascii="仿宋" w:eastAsia="仿宋" w:hAnsi="仿宋"/>
          <w:sz w:val="24"/>
          <w:szCs w:val="24"/>
        </w:rPr>
        <w:t>1.建立专业的税法跟踪体系</w:t>
      </w:r>
    </w:p>
    <w:p w14:paraId="345FEF5E" w14:textId="15F607E0" w:rsidR="00282199" w:rsidRPr="00282199" w:rsidRDefault="00282199" w:rsidP="00282199">
      <w:pPr>
        <w:rPr>
          <w:rFonts w:ascii="仿宋" w:eastAsia="仿宋" w:hAnsi="仿宋" w:hint="eastAsia"/>
          <w:sz w:val="24"/>
          <w:szCs w:val="24"/>
        </w:rPr>
      </w:pPr>
    </w:p>
    <w:p w14:paraId="3319652D" w14:textId="1A98D09A" w:rsidR="00282199" w:rsidRPr="00282199" w:rsidRDefault="00282199" w:rsidP="00F15FE2">
      <w:pPr>
        <w:ind w:firstLineChars="200" w:firstLine="480"/>
        <w:rPr>
          <w:rFonts w:ascii="仿宋" w:eastAsia="仿宋" w:hAnsi="仿宋" w:hint="eastAsia"/>
          <w:sz w:val="24"/>
          <w:szCs w:val="24"/>
        </w:rPr>
      </w:pPr>
      <w:r w:rsidRPr="00282199">
        <w:rPr>
          <w:rFonts w:ascii="仿宋" w:eastAsia="仿宋" w:hAnsi="仿宋"/>
          <w:sz w:val="24"/>
          <w:szCs w:val="24"/>
        </w:rPr>
        <w:t>鉴于我国税收政策处于快速完善期，各地执法口径存在差异，因此，建议组建由财税专家、法律顾问等构成的专业团队，定期分析政策变动，特别是跨境税收、资本交易等领域的立法动态，并根据最新政策及时调整税务安排方案，确保税务策略的时效性和合</w:t>
      </w:r>
      <w:proofErr w:type="gramStart"/>
      <w:r w:rsidRPr="00282199">
        <w:rPr>
          <w:rFonts w:ascii="仿宋" w:eastAsia="仿宋" w:hAnsi="仿宋"/>
          <w:sz w:val="24"/>
          <w:szCs w:val="24"/>
        </w:rPr>
        <w:t>规</w:t>
      </w:r>
      <w:proofErr w:type="gramEnd"/>
      <w:r w:rsidRPr="00282199">
        <w:rPr>
          <w:rFonts w:ascii="仿宋" w:eastAsia="仿宋" w:hAnsi="仿宋"/>
          <w:sz w:val="24"/>
          <w:szCs w:val="24"/>
        </w:rPr>
        <w:t>性。</w:t>
      </w:r>
      <w:r w:rsidRPr="00282199">
        <w:rPr>
          <w:rFonts w:ascii="仿宋" w:eastAsia="仿宋" w:hAnsi="仿宋"/>
          <w:sz w:val="24"/>
          <w:szCs w:val="24"/>
        </w:rPr>
        <w:br/>
      </w:r>
    </w:p>
    <w:p w14:paraId="108067ED" w14:textId="73876E92" w:rsidR="00282199" w:rsidRPr="00282199" w:rsidRDefault="00282199" w:rsidP="00282199">
      <w:pPr>
        <w:rPr>
          <w:rFonts w:ascii="仿宋" w:eastAsia="仿宋" w:hAnsi="仿宋" w:hint="eastAsia"/>
          <w:sz w:val="24"/>
          <w:szCs w:val="24"/>
        </w:rPr>
      </w:pPr>
      <w:r w:rsidRPr="00282199">
        <w:rPr>
          <w:rFonts w:ascii="仿宋" w:eastAsia="仿宋" w:hAnsi="仿宋"/>
          <w:sz w:val="24"/>
          <w:szCs w:val="24"/>
        </w:rPr>
        <w:t>2.海外投资应建立“安全合规”双层次评估框架</w:t>
      </w:r>
      <w:r w:rsidRPr="00282199">
        <w:rPr>
          <w:rFonts w:ascii="仿宋" w:eastAsia="仿宋" w:hAnsi="仿宋"/>
          <w:sz w:val="24"/>
          <w:szCs w:val="24"/>
        </w:rPr>
        <w:br/>
      </w:r>
    </w:p>
    <w:p w14:paraId="400E17A8" w14:textId="2DA9D3F2" w:rsidR="00282199" w:rsidRPr="00282199" w:rsidRDefault="00282199" w:rsidP="00F15FE2">
      <w:pPr>
        <w:ind w:firstLineChars="200" w:firstLine="480"/>
        <w:rPr>
          <w:rFonts w:ascii="仿宋" w:eastAsia="仿宋" w:hAnsi="仿宋" w:hint="eastAsia"/>
          <w:sz w:val="24"/>
          <w:szCs w:val="24"/>
        </w:rPr>
      </w:pPr>
      <w:r w:rsidRPr="00282199">
        <w:rPr>
          <w:rFonts w:ascii="仿宋" w:eastAsia="仿宋" w:hAnsi="仿宋"/>
          <w:sz w:val="24"/>
          <w:szCs w:val="24"/>
        </w:rPr>
        <w:t>在经济下行周期时，可选择监管更规范的税收居民地投资。同时，考虑以“居民身份—税收计划—投资性质”作为投资优化战略，通过合理规划税务居民身份、优化投资结构、选择信托公司等方式，充分利用税收协定优惠项目，避免加征税款，提升资产安全。此外，需通过搭建税收计划架构，规避政治风险和外汇风险对投资价值的侵蚀。</w:t>
      </w:r>
      <w:r w:rsidRPr="00282199">
        <w:rPr>
          <w:rFonts w:ascii="仿宋" w:eastAsia="仿宋" w:hAnsi="仿宋"/>
          <w:sz w:val="24"/>
          <w:szCs w:val="24"/>
        </w:rPr>
        <w:br/>
      </w:r>
    </w:p>
    <w:p w14:paraId="7929AB74" w14:textId="6734BCF5" w:rsidR="00282199" w:rsidRPr="00282199" w:rsidRDefault="00282199" w:rsidP="00282199">
      <w:pPr>
        <w:rPr>
          <w:rFonts w:ascii="仿宋" w:eastAsia="仿宋" w:hAnsi="仿宋" w:hint="eastAsia"/>
          <w:sz w:val="24"/>
          <w:szCs w:val="24"/>
        </w:rPr>
      </w:pPr>
      <w:r w:rsidRPr="00282199">
        <w:rPr>
          <w:rFonts w:ascii="仿宋" w:eastAsia="仿宋" w:hAnsi="仿宋"/>
          <w:sz w:val="24"/>
          <w:szCs w:val="24"/>
        </w:rPr>
        <w:t>3.定期开展纳税检查</w:t>
      </w:r>
      <w:r w:rsidRPr="00282199">
        <w:rPr>
          <w:rFonts w:ascii="仿宋" w:eastAsia="仿宋" w:hAnsi="仿宋"/>
          <w:sz w:val="24"/>
          <w:szCs w:val="24"/>
        </w:rPr>
        <w:br/>
      </w:r>
    </w:p>
    <w:p w14:paraId="4EA387F0" w14:textId="77777777" w:rsidR="00282199" w:rsidRPr="00282199" w:rsidRDefault="00282199" w:rsidP="00F15FE2">
      <w:pPr>
        <w:ind w:firstLineChars="200" w:firstLine="480"/>
        <w:rPr>
          <w:rFonts w:ascii="仿宋" w:eastAsia="仿宋" w:hAnsi="仿宋" w:hint="eastAsia"/>
          <w:sz w:val="24"/>
          <w:szCs w:val="24"/>
        </w:rPr>
      </w:pPr>
      <w:r w:rsidRPr="00282199">
        <w:rPr>
          <w:rFonts w:ascii="仿宋" w:eastAsia="仿宋" w:hAnsi="仿宋"/>
          <w:sz w:val="24"/>
          <w:szCs w:val="24"/>
        </w:rPr>
        <w:t>境外资产的纳税情况宜每半年开展一次全面检查，重点核查境外收入是否全面申报、关联交易价格是否合理、离岸安排的经济实质是否存在问题等。对于存在重大隐患的风险隐患，及时进行主动申报补救；对于存在根本缺陷的资产安排，启动资产重组工作。</w:t>
      </w:r>
    </w:p>
    <w:sectPr w:rsidR="00282199" w:rsidRPr="0028219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2020D" w14:textId="77777777" w:rsidR="00B50B6B" w:rsidRDefault="00B50B6B" w:rsidP="00282199">
      <w:pPr>
        <w:rPr>
          <w:rFonts w:hint="eastAsia"/>
        </w:rPr>
      </w:pPr>
      <w:r>
        <w:separator/>
      </w:r>
    </w:p>
  </w:endnote>
  <w:endnote w:type="continuationSeparator" w:id="0">
    <w:p w14:paraId="465668EF" w14:textId="77777777" w:rsidR="00B50B6B" w:rsidRDefault="00B50B6B" w:rsidP="0028219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454584"/>
      <w:docPartObj>
        <w:docPartGallery w:val="Page Numbers (Bottom of Page)"/>
        <w:docPartUnique/>
      </w:docPartObj>
    </w:sdtPr>
    <w:sdtContent>
      <w:p w14:paraId="2D0C3C1C" w14:textId="2024DCD6" w:rsidR="00F15FE2" w:rsidRDefault="00F15FE2">
        <w:pPr>
          <w:pStyle w:val="af0"/>
          <w:jc w:val="right"/>
          <w:rPr>
            <w:rFonts w:hint="eastAsia"/>
          </w:rPr>
        </w:pPr>
        <w:r>
          <w:fldChar w:fldCharType="begin"/>
        </w:r>
        <w:r>
          <w:instrText>PAGE   \* MERGEFORMAT</w:instrText>
        </w:r>
        <w:r>
          <w:fldChar w:fldCharType="separate"/>
        </w:r>
        <w:r>
          <w:rPr>
            <w:lang w:val="zh-CN"/>
          </w:rPr>
          <w:t>2</w:t>
        </w:r>
        <w:r>
          <w:fldChar w:fldCharType="end"/>
        </w:r>
      </w:p>
    </w:sdtContent>
  </w:sdt>
  <w:p w14:paraId="14240066" w14:textId="77777777" w:rsidR="00F15FE2" w:rsidRDefault="00F15FE2">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87460" w14:textId="77777777" w:rsidR="00B50B6B" w:rsidRDefault="00B50B6B" w:rsidP="00282199">
      <w:pPr>
        <w:rPr>
          <w:rFonts w:hint="eastAsia"/>
        </w:rPr>
      </w:pPr>
      <w:r>
        <w:separator/>
      </w:r>
    </w:p>
  </w:footnote>
  <w:footnote w:type="continuationSeparator" w:id="0">
    <w:p w14:paraId="28AB000A" w14:textId="77777777" w:rsidR="00B50B6B" w:rsidRDefault="00B50B6B" w:rsidP="0028219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E0E"/>
    <w:rsid w:val="0021353F"/>
    <w:rsid w:val="00282199"/>
    <w:rsid w:val="003752A2"/>
    <w:rsid w:val="003F28B4"/>
    <w:rsid w:val="00421970"/>
    <w:rsid w:val="006023B4"/>
    <w:rsid w:val="00676039"/>
    <w:rsid w:val="0084108D"/>
    <w:rsid w:val="00B50B6B"/>
    <w:rsid w:val="00F04E0E"/>
    <w:rsid w:val="00F15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AAB9A6"/>
  <w15:chartTrackingRefBased/>
  <w15:docId w15:val="{015B93A8-4BFE-46F8-94E9-53134EE30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04E0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04E0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04E0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04E0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04E0E"/>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04E0E"/>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04E0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4E0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04E0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4E0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04E0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04E0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04E0E"/>
    <w:rPr>
      <w:rFonts w:cstheme="majorBidi"/>
      <w:color w:val="0F4761" w:themeColor="accent1" w:themeShade="BF"/>
      <w:sz w:val="28"/>
      <w:szCs w:val="28"/>
    </w:rPr>
  </w:style>
  <w:style w:type="character" w:customStyle="1" w:styleId="50">
    <w:name w:val="标题 5 字符"/>
    <w:basedOn w:val="a0"/>
    <w:link w:val="5"/>
    <w:uiPriority w:val="9"/>
    <w:semiHidden/>
    <w:rsid w:val="00F04E0E"/>
    <w:rPr>
      <w:rFonts w:cstheme="majorBidi"/>
      <w:color w:val="0F4761" w:themeColor="accent1" w:themeShade="BF"/>
      <w:sz w:val="24"/>
      <w:szCs w:val="24"/>
    </w:rPr>
  </w:style>
  <w:style w:type="character" w:customStyle="1" w:styleId="60">
    <w:name w:val="标题 6 字符"/>
    <w:basedOn w:val="a0"/>
    <w:link w:val="6"/>
    <w:uiPriority w:val="9"/>
    <w:semiHidden/>
    <w:rsid w:val="00F04E0E"/>
    <w:rPr>
      <w:rFonts w:cstheme="majorBidi"/>
      <w:b/>
      <w:bCs/>
      <w:color w:val="0F4761" w:themeColor="accent1" w:themeShade="BF"/>
    </w:rPr>
  </w:style>
  <w:style w:type="character" w:customStyle="1" w:styleId="70">
    <w:name w:val="标题 7 字符"/>
    <w:basedOn w:val="a0"/>
    <w:link w:val="7"/>
    <w:uiPriority w:val="9"/>
    <w:semiHidden/>
    <w:rsid w:val="00F04E0E"/>
    <w:rPr>
      <w:rFonts w:cstheme="majorBidi"/>
      <w:b/>
      <w:bCs/>
      <w:color w:val="595959" w:themeColor="text1" w:themeTint="A6"/>
    </w:rPr>
  </w:style>
  <w:style w:type="character" w:customStyle="1" w:styleId="80">
    <w:name w:val="标题 8 字符"/>
    <w:basedOn w:val="a0"/>
    <w:link w:val="8"/>
    <w:uiPriority w:val="9"/>
    <w:semiHidden/>
    <w:rsid w:val="00F04E0E"/>
    <w:rPr>
      <w:rFonts w:cstheme="majorBidi"/>
      <w:color w:val="595959" w:themeColor="text1" w:themeTint="A6"/>
    </w:rPr>
  </w:style>
  <w:style w:type="character" w:customStyle="1" w:styleId="90">
    <w:name w:val="标题 9 字符"/>
    <w:basedOn w:val="a0"/>
    <w:link w:val="9"/>
    <w:uiPriority w:val="9"/>
    <w:semiHidden/>
    <w:rsid w:val="00F04E0E"/>
    <w:rPr>
      <w:rFonts w:eastAsiaTheme="majorEastAsia" w:cstheme="majorBidi"/>
      <w:color w:val="595959" w:themeColor="text1" w:themeTint="A6"/>
    </w:rPr>
  </w:style>
  <w:style w:type="paragraph" w:styleId="a3">
    <w:name w:val="Title"/>
    <w:basedOn w:val="a"/>
    <w:next w:val="a"/>
    <w:link w:val="a4"/>
    <w:uiPriority w:val="10"/>
    <w:qFormat/>
    <w:rsid w:val="00F04E0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4E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4E0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4E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4E0E"/>
    <w:pPr>
      <w:spacing w:before="160" w:after="160"/>
      <w:jc w:val="center"/>
    </w:pPr>
    <w:rPr>
      <w:i/>
      <w:iCs/>
      <w:color w:val="404040" w:themeColor="text1" w:themeTint="BF"/>
    </w:rPr>
  </w:style>
  <w:style w:type="character" w:customStyle="1" w:styleId="a8">
    <w:name w:val="引用 字符"/>
    <w:basedOn w:val="a0"/>
    <w:link w:val="a7"/>
    <w:uiPriority w:val="29"/>
    <w:rsid w:val="00F04E0E"/>
    <w:rPr>
      <w:i/>
      <w:iCs/>
      <w:color w:val="404040" w:themeColor="text1" w:themeTint="BF"/>
    </w:rPr>
  </w:style>
  <w:style w:type="paragraph" w:styleId="a9">
    <w:name w:val="List Paragraph"/>
    <w:basedOn w:val="a"/>
    <w:uiPriority w:val="34"/>
    <w:qFormat/>
    <w:rsid w:val="00F04E0E"/>
    <w:pPr>
      <w:ind w:left="720"/>
      <w:contextualSpacing/>
    </w:pPr>
  </w:style>
  <w:style w:type="character" w:styleId="aa">
    <w:name w:val="Intense Emphasis"/>
    <w:basedOn w:val="a0"/>
    <w:uiPriority w:val="21"/>
    <w:qFormat/>
    <w:rsid w:val="00F04E0E"/>
    <w:rPr>
      <w:i/>
      <w:iCs/>
      <w:color w:val="0F4761" w:themeColor="accent1" w:themeShade="BF"/>
    </w:rPr>
  </w:style>
  <w:style w:type="paragraph" w:styleId="ab">
    <w:name w:val="Intense Quote"/>
    <w:basedOn w:val="a"/>
    <w:next w:val="a"/>
    <w:link w:val="ac"/>
    <w:uiPriority w:val="30"/>
    <w:qFormat/>
    <w:rsid w:val="00F04E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04E0E"/>
    <w:rPr>
      <w:i/>
      <w:iCs/>
      <w:color w:val="0F4761" w:themeColor="accent1" w:themeShade="BF"/>
    </w:rPr>
  </w:style>
  <w:style w:type="character" w:styleId="ad">
    <w:name w:val="Intense Reference"/>
    <w:basedOn w:val="a0"/>
    <w:uiPriority w:val="32"/>
    <w:qFormat/>
    <w:rsid w:val="00F04E0E"/>
    <w:rPr>
      <w:b/>
      <w:bCs/>
      <w:smallCaps/>
      <w:color w:val="0F4761" w:themeColor="accent1" w:themeShade="BF"/>
      <w:spacing w:val="5"/>
    </w:rPr>
  </w:style>
  <w:style w:type="paragraph" w:styleId="ae">
    <w:name w:val="header"/>
    <w:basedOn w:val="a"/>
    <w:link w:val="af"/>
    <w:uiPriority w:val="99"/>
    <w:unhideWhenUsed/>
    <w:rsid w:val="00282199"/>
    <w:pPr>
      <w:tabs>
        <w:tab w:val="center" w:pos="4153"/>
        <w:tab w:val="right" w:pos="8306"/>
      </w:tabs>
      <w:snapToGrid w:val="0"/>
      <w:jc w:val="center"/>
    </w:pPr>
    <w:rPr>
      <w:sz w:val="18"/>
      <w:szCs w:val="18"/>
    </w:rPr>
  </w:style>
  <w:style w:type="character" w:customStyle="1" w:styleId="af">
    <w:name w:val="页眉 字符"/>
    <w:basedOn w:val="a0"/>
    <w:link w:val="ae"/>
    <w:uiPriority w:val="99"/>
    <w:rsid w:val="00282199"/>
    <w:rPr>
      <w:sz w:val="18"/>
      <w:szCs w:val="18"/>
    </w:rPr>
  </w:style>
  <w:style w:type="paragraph" w:styleId="af0">
    <w:name w:val="footer"/>
    <w:basedOn w:val="a"/>
    <w:link w:val="af1"/>
    <w:uiPriority w:val="99"/>
    <w:unhideWhenUsed/>
    <w:rsid w:val="00282199"/>
    <w:pPr>
      <w:tabs>
        <w:tab w:val="center" w:pos="4153"/>
        <w:tab w:val="right" w:pos="8306"/>
      </w:tabs>
      <w:snapToGrid w:val="0"/>
      <w:jc w:val="left"/>
    </w:pPr>
    <w:rPr>
      <w:sz w:val="18"/>
      <w:szCs w:val="18"/>
    </w:rPr>
  </w:style>
  <w:style w:type="character" w:customStyle="1" w:styleId="af1">
    <w:name w:val="页脚 字符"/>
    <w:basedOn w:val="a0"/>
    <w:link w:val="af0"/>
    <w:uiPriority w:val="99"/>
    <w:rsid w:val="00282199"/>
    <w:rPr>
      <w:sz w:val="18"/>
      <w:szCs w:val="18"/>
    </w:rPr>
  </w:style>
  <w:style w:type="character" w:styleId="af2">
    <w:name w:val="Hyperlink"/>
    <w:basedOn w:val="a0"/>
    <w:uiPriority w:val="99"/>
    <w:unhideWhenUsed/>
    <w:rsid w:val="00282199"/>
    <w:rPr>
      <w:color w:val="467886" w:themeColor="hyperlink"/>
      <w:u w:val="single"/>
    </w:rPr>
  </w:style>
  <w:style w:type="character" w:styleId="af3">
    <w:name w:val="Unresolved Mention"/>
    <w:basedOn w:val="a0"/>
    <w:uiPriority w:val="99"/>
    <w:semiHidden/>
    <w:unhideWhenUsed/>
    <w:rsid w:val="00282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9</Pages>
  <Words>3941</Words>
  <Characters>4178</Characters>
  <Application>Microsoft Office Word</Application>
  <DocSecurity>0</DocSecurity>
  <Lines>181</Lines>
  <Paragraphs>97</Paragraphs>
  <ScaleCrop>false</ScaleCrop>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磊 桂</dc:creator>
  <cp:keywords/>
  <dc:description/>
  <cp:lastModifiedBy>磊 桂</cp:lastModifiedBy>
  <cp:revision>4</cp:revision>
  <dcterms:created xsi:type="dcterms:W3CDTF">2026-05-02T05:33:00Z</dcterms:created>
  <dcterms:modified xsi:type="dcterms:W3CDTF">2026-05-02T06:54:00Z</dcterms:modified>
</cp:coreProperties>
</file>