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C7C9" w14:textId="1ACCC87A" w:rsidR="0002305D" w:rsidRDefault="00000000" w:rsidP="004B7AD5">
      <w:pPr>
        <w:kinsoku/>
        <w:spacing w:line="360" w:lineRule="auto"/>
        <w:rPr>
          <w:b/>
          <w:bCs/>
          <w:color w:val="auto"/>
          <w:sz w:val="32"/>
          <w:szCs w:val="32"/>
          <w:lang w:eastAsia="zh-CN"/>
        </w:rPr>
      </w:pPr>
      <w:r>
        <w:rPr>
          <w:rFonts w:hint="eastAsia"/>
          <w:b/>
          <w:bCs/>
          <w:color w:val="auto"/>
          <w:sz w:val="32"/>
          <w:szCs w:val="32"/>
          <w:lang w:eastAsia="zh-CN"/>
        </w:rPr>
        <w:t>案例</w:t>
      </w:r>
      <w:r w:rsidR="00132E84">
        <w:rPr>
          <w:rFonts w:hint="eastAsia"/>
          <w:b/>
          <w:bCs/>
          <w:color w:val="auto"/>
          <w:sz w:val="32"/>
          <w:szCs w:val="32"/>
          <w:lang w:eastAsia="zh-CN"/>
        </w:rPr>
        <w:t>解析</w:t>
      </w:r>
      <w:r>
        <w:rPr>
          <w:rFonts w:hint="eastAsia"/>
          <w:b/>
          <w:bCs/>
          <w:color w:val="auto"/>
          <w:sz w:val="32"/>
          <w:szCs w:val="32"/>
          <w:lang w:eastAsia="zh-CN"/>
        </w:rPr>
        <w:t>：</w:t>
      </w:r>
    </w:p>
    <w:p w14:paraId="35686414" w14:textId="77777777" w:rsidR="0002305D" w:rsidRDefault="0002305D" w:rsidP="004B7AD5">
      <w:pPr>
        <w:kinsoku/>
        <w:spacing w:line="360" w:lineRule="auto"/>
        <w:jc w:val="center"/>
        <w:rPr>
          <w:b/>
          <w:bCs/>
          <w:color w:val="auto"/>
          <w:sz w:val="28"/>
          <w:szCs w:val="28"/>
          <w:lang w:eastAsia="zh-CN"/>
        </w:rPr>
      </w:pPr>
    </w:p>
    <w:p w14:paraId="00D42910" w14:textId="77777777" w:rsidR="0002305D" w:rsidRDefault="00000000" w:rsidP="004B7AD5">
      <w:pPr>
        <w:kinsoku/>
        <w:spacing w:line="360" w:lineRule="auto"/>
        <w:jc w:val="center"/>
        <w:rPr>
          <w:b/>
          <w:bCs/>
          <w:color w:val="auto"/>
          <w:sz w:val="28"/>
          <w:szCs w:val="28"/>
          <w:lang w:eastAsia="zh-CN"/>
        </w:rPr>
      </w:pPr>
      <w:proofErr w:type="gramStart"/>
      <w:r>
        <w:rPr>
          <w:rFonts w:hint="eastAsia"/>
          <w:b/>
          <w:bCs/>
          <w:color w:val="auto"/>
          <w:sz w:val="28"/>
          <w:szCs w:val="28"/>
          <w:lang w:eastAsia="zh-CN"/>
        </w:rPr>
        <w:t>重庆车企在美</w:t>
      </w:r>
      <w:proofErr w:type="gramEnd"/>
      <w:r>
        <w:rPr>
          <w:rFonts w:hint="eastAsia"/>
          <w:b/>
          <w:bCs/>
          <w:color w:val="auto"/>
          <w:sz w:val="28"/>
          <w:szCs w:val="28"/>
          <w:lang w:eastAsia="zh-CN"/>
        </w:rPr>
        <w:t>维权获赔千万美元：虬龙科技诉探</w:t>
      </w:r>
      <w:proofErr w:type="gramStart"/>
      <w:r>
        <w:rPr>
          <w:rFonts w:hint="eastAsia"/>
          <w:b/>
          <w:bCs/>
          <w:color w:val="auto"/>
          <w:sz w:val="28"/>
          <w:szCs w:val="28"/>
          <w:lang w:eastAsia="zh-CN"/>
        </w:rPr>
        <w:t>骊</w:t>
      </w:r>
      <w:proofErr w:type="gramEnd"/>
      <w:r>
        <w:rPr>
          <w:rFonts w:hint="eastAsia"/>
          <w:b/>
          <w:bCs/>
          <w:color w:val="auto"/>
          <w:sz w:val="28"/>
          <w:szCs w:val="28"/>
          <w:lang w:eastAsia="zh-CN"/>
        </w:rPr>
        <w:t>动力外观专利侵权案分析</w:t>
      </w:r>
    </w:p>
    <w:p w14:paraId="6637FD76" w14:textId="77777777" w:rsidR="0002305D" w:rsidRDefault="00000000" w:rsidP="004B7AD5">
      <w:pPr>
        <w:kinsoku/>
        <w:spacing w:line="360" w:lineRule="auto"/>
        <w:jc w:val="center"/>
        <w:rPr>
          <w:color w:val="auto"/>
          <w:lang w:eastAsia="zh-CN"/>
        </w:rPr>
      </w:pPr>
      <w:r>
        <w:rPr>
          <w:rFonts w:hint="eastAsia"/>
          <w:color w:val="auto"/>
          <w:lang w:eastAsia="zh-CN"/>
        </w:rPr>
        <w:t>所在单位：上海左券律师事务所</w:t>
      </w:r>
    </w:p>
    <w:p w14:paraId="0D038FFB" w14:textId="77777777" w:rsidR="0002305D" w:rsidRDefault="00000000" w:rsidP="004B7AD5">
      <w:pPr>
        <w:kinsoku/>
        <w:spacing w:line="360" w:lineRule="auto"/>
        <w:jc w:val="center"/>
        <w:rPr>
          <w:color w:val="auto"/>
          <w:lang w:eastAsia="zh-CN"/>
        </w:rPr>
      </w:pPr>
      <w:r>
        <w:rPr>
          <w:rFonts w:hint="eastAsia"/>
          <w:color w:val="auto"/>
          <w:lang w:eastAsia="zh-CN"/>
        </w:rPr>
        <w:t>作者：雷嘉雯</w:t>
      </w:r>
    </w:p>
    <w:p w14:paraId="5CB755A4" w14:textId="77777777" w:rsidR="0002305D" w:rsidRDefault="0002305D" w:rsidP="004B7AD5">
      <w:pPr>
        <w:kinsoku/>
        <w:spacing w:line="360" w:lineRule="auto"/>
        <w:ind w:firstLineChars="200" w:firstLine="482"/>
        <w:rPr>
          <w:b/>
          <w:bCs/>
          <w:color w:val="auto"/>
          <w:lang w:eastAsia="zh-CN"/>
        </w:rPr>
      </w:pPr>
    </w:p>
    <w:p w14:paraId="005D5D08" w14:textId="77777777" w:rsidR="0002305D" w:rsidRDefault="00000000" w:rsidP="004B7AD5">
      <w:pPr>
        <w:kinsoku/>
        <w:spacing w:line="360" w:lineRule="auto"/>
        <w:ind w:firstLineChars="200" w:firstLine="482"/>
        <w:rPr>
          <w:b/>
          <w:bCs/>
          <w:color w:val="auto"/>
          <w:lang w:eastAsia="zh-CN"/>
        </w:rPr>
      </w:pPr>
      <w:r>
        <w:rPr>
          <w:rFonts w:hint="eastAsia"/>
          <w:b/>
          <w:bCs/>
          <w:color w:val="auto"/>
          <w:lang w:eastAsia="zh-CN"/>
        </w:rPr>
        <w:t>一、案例导读</w:t>
      </w:r>
    </w:p>
    <w:p w14:paraId="18C6B754" w14:textId="77777777" w:rsidR="0002305D" w:rsidRDefault="00000000" w:rsidP="004B7AD5">
      <w:pPr>
        <w:kinsoku/>
        <w:spacing w:line="360" w:lineRule="auto"/>
        <w:ind w:firstLineChars="200" w:firstLine="480"/>
        <w:rPr>
          <w:color w:val="auto"/>
          <w:lang w:eastAsia="zh-CN"/>
        </w:rPr>
      </w:pPr>
      <w:r>
        <w:rPr>
          <w:rFonts w:hint="eastAsia"/>
          <w:color w:val="auto"/>
          <w:lang w:eastAsia="zh-CN"/>
        </w:rPr>
        <w:t>美国时间</w:t>
      </w:r>
      <w:r>
        <w:rPr>
          <w:rFonts w:hint="eastAsia"/>
          <w:color w:val="auto"/>
          <w:lang w:eastAsia="zh-CN"/>
        </w:rPr>
        <w:t>2026</w:t>
      </w:r>
      <w:r>
        <w:rPr>
          <w:rFonts w:hint="eastAsia"/>
          <w:color w:val="auto"/>
          <w:lang w:eastAsia="zh-CN"/>
        </w:rPr>
        <w:t>年</w:t>
      </w:r>
      <w:r>
        <w:rPr>
          <w:rFonts w:hint="eastAsia"/>
          <w:color w:val="auto"/>
          <w:lang w:eastAsia="zh-CN"/>
        </w:rPr>
        <w:t>5</w:t>
      </w:r>
      <w:r>
        <w:rPr>
          <w:rFonts w:hint="eastAsia"/>
          <w:color w:val="auto"/>
          <w:lang w:eastAsia="zh-CN"/>
        </w:rPr>
        <w:t>月</w:t>
      </w:r>
      <w:r>
        <w:rPr>
          <w:rFonts w:hint="eastAsia"/>
          <w:color w:val="auto"/>
          <w:lang w:eastAsia="zh-CN"/>
        </w:rPr>
        <w:t>18</w:t>
      </w:r>
      <w:r>
        <w:rPr>
          <w:rFonts w:hint="eastAsia"/>
          <w:color w:val="auto"/>
          <w:lang w:eastAsia="zh-CN"/>
        </w:rPr>
        <w:t>日，美国得克萨斯州西区联邦法院奥斯汀分庭</w:t>
      </w:r>
      <w:proofErr w:type="gramStart"/>
      <w:r>
        <w:rPr>
          <w:rFonts w:hint="eastAsia"/>
          <w:color w:val="auto"/>
          <w:lang w:eastAsia="zh-CN"/>
        </w:rPr>
        <w:t>作出</w:t>
      </w:r>
      <w:proofErr w:type="gramEnd"/>
      <w:r>
        <w:rPr>
          <w:rFonts w:hint="eastAsia"/>
          <w:color w:val="auto"/>
          <w:lang w:eastAsia="zh-CN"/>
        </w:rPr>
        <w:t>最终判决，认定探骊动力科技（重庆）有限公司（以下简称“探骊动力”）及其香港关联主体对重庆虬龙科技有限公司‌（以下简称虬龙科技）旗下“轻蜂“电动越野车核心外观设计专利构成故意侵权，应赔偿虬龙科技约</w:t>
      </w:r>
      <w:r>
        <w:rPr>
          <w:rFonts w:hint="eastAsia"/>
          <w:color w:val="auto"/>
          <w:lang w:eastAsia="zh-CN"/>
        </w:rPr>
        <w:t>1297</w:t>
      </w:r>
      <w:r>
        <w:rPr>
          <w:rFonts w:hint="eastAsia"/>
          <w:color w:val="auto"/>
          <w:lang w:eastAsia="zh-CN"/>
        </w:rPr>
        <w:t>万美元经济损失，此外，法院又进一步颁布永久禁令（</w:t>
      </w:r>
      <w:r>
        <w:rPr>
          <w:rFonts w:hint="eastAsia"/>
          <w:color w:val="auto"/>
          <w:lang w:eastAsia="zh-CN"/>
        </w:rPr>
        <w:t>Permanent Injunction</w:t>
      </w:r>
      <w:r>
        <w:rPr>
          <w:rFonts w:hint="eastAsia"/>
          <w:color w:val="auto"/>
          <w:lang w:eastAsia="zh-CN"/>
        </w:rPr>
        <w:t>），以裁决形式禁止探骊动力及其香港关联公司在美国市场销售、制造、进口侵权产品。</w:t>
      </w:r>
    </w:p>
    <w:p w14:paraId="1A73C692" w14:textId="77777777" w:rsidR="0002305D" w:rsidRDefault="00000000" w:rsidP="004B7AD5">
      <w:pPr>
        <w:kinsoku/>
        <w:spacing w:line="360" w:lineRule="auto"/>
        <w:ind w:firstLineChars="200" w:firstLine="480"/>
        <w:rPr>
          <w:color w:val="auto"/>
          <w:lang w:eastAsia="zh-CN"/>
        </w:rPr>
      </w:pPr>
      <w:r>
        <w:rPr>
          <w:rFonts w:hint="eastAsia"/>
          <w:color w:val="auto"/>
          <w:lang w:eastAsia="zh-CN"/>
        </w:rPr>
        <w:t>至此，虬龙科技持续三年的维权之旅落下帷幕，这份判决是虬龙科技继</w:t>
      </w:r>
      <w:r>
        <w:rPr>
          <w:rFonts w:hint="eastAsia"/>
          <w:color w:val="auto"/>
          <w:lang w:eastAsia="zh-CN"/>
        </w:rPr>
        <w:t>2025</w:t>
      </w:r>
      <w:r>
        <w:rPr>
          <w:rFonts w:hint="eastAsia"/>
          <w:color w:val="auto"/>
          <w:lang w:eastAsia="zh-CN"/>
        </w:rPr>
        <w:t>年</w:t>
      </w:r>
      <w:r>
        <w:rPr>
          <w:rFonts w:hint="eastAsia"/>
          <w:color w:val="auto"/>
          <w:lang w:eastAsia="zh-CN"/>
        </w:rPr>
        <w:t>4</w:t>
      </w:r>
      <w:r>
        <w:rPr>
          <w:rFonts w:hint="eastAsia"/>
          <w:color w:val="auto"/>
          <w:lang w:eastAsia="zh-CN"/>
        </w:rPr>
        <w:t>月在浙江省高院获得国内专利诉讼胜诉后的又一重大胜利，形成了中美两地知识产权保护的完整闭环。</w:t>
      </w:r>
    </w:p>
    <w:p w14:paraId="66958198" w14:textId="77777777" w:rsidR="0002305D" w:rsidRDefault="00000000" w:rsidP="004B7AD5">
      <w:pPr>
        <w:kinsoku/>
        <w:spacing w:line="360" w:lineRule="auto"/>
        <w:ind w:firstLineChars="200" w:firstLine="482"/>
        <w:rPr>
          <w:color w:val="auto"/>
          <w:lang w:eastAsia="zh-CN"/>
        </w:rPr>
      </w:pPr>
      <w:r>
        <w:rPr>
          <w:rFonts w:hint="eastAsia"/>
          <w:b/>
          <w:bCs/>
          <w:color w:val="auto"/>
          <w:lang w:eastAsia="zh-CN"/>
        </w:rPr>
        <w:t>关键词：</w:t>
      </w:r>
      <w:proofErr w:type="gramStart"/>
      <w:r>
        <w:rPr>
          <w:rFonts w:hint="eastAsia"/>
          <w:color w:val="auto"/>
          <w:lang w:eastAsia="zh-CN"/>
        </w:rPr>
        <w:t>跨境知产诉讼</w:t>
      </w:r>
      <w:proofErr w:type="gramEnd"/>
      <w:r>
        <w:rPr>
          <w:rFonts w:hint="eastAsia"/>
          <w:color w:val="auto"/>
          <w:lang w:eastAsia="zh-CN"/>
        </w:rPr>
        <w:t>、外观设计专利侵权认定、美国设计专利制度</w:t>
      </w:r>
    </w:p>
    <w:p w14:paraId="10999D36" w14:textId="77777777" w:rsidR="0002305D" w:rsidRDefault="0002305D" w:rsidP="004B7AD5">
      <w:pPr>
        <w:kinsoku/>
        <w:spacing w:line="360" w:lineRule="auto"/>
        <w:ind w:firstLineChars="200" w:firstLine="482"/>
        <w:rPr>
          <w:b/>
          <w:bCs/>
          <w:color w:val="auto"/>
          <w:lang w:eastAsia="zh-CN"/>
        </w:rPr>
      </w:pPr>
    </w:p>
    <w:p w14:paraId="7030E95F" w14:textId="77777777" w:rsidR="0002305D" w:rsidRDefault="00000000" w:rsidP="004B7AD5">
      <w:pPr>
        <w:kinsoku/>
        <w:spacing w:line="360" w:lineRule="auto"/>
        <w:ind w:firstLineChars="200" w:firstLine="482"/>
        <w:rPr>
          <w:b/>
          <w:bCs/>
          <w:color w:val="auto"/>
          <w:lang w:eastAsia="zh-CN"/>
        </w:rPr>
      </w:pPr>
      <w:r>
        <w:rPr>
          <w:rFonts w:hint="eastAsia"/>
          <w:b/>
          <w:bCs/>
          <w:color w:val="auto"/>
          <w:lang w:eastAsia="zh-CN"/>
        </w:rPr>
        <w:t>二、案情背景</w:t>
      </w:r>
    </w:p>
    <w:p w14:paraId="1F75C9AA" w14:textId="77777777" w:rsidR="0002305D" w:rsidRDefault="00000000" w:rsidP="004B7AD5">
      <w:pPr>
        <w:kinsoku/>
        <w:spacing w:line="360" w:lineRule="auto"/>
        <w:ind w:firstLineChars="200" w:firstLine="480"/>
        <w:rPr>
          <w:color w:val="auto"/>
          <w:lang w:eastAsia="zh-CN"/>
        </w:rPr>
      </w:pPr>
      <w:r>
        <w:rPr>
          <w:rFonts w:hint="eastAsia"/>
          <w:color w:val="auto"/>
          <w:lang w:eastAsia="zh-CN"/>
        </w:rPr>
        <w:t>本案原告虬龙科技成立于</w:t>
      </w:r>
      <w:r>
        <w:rPr>
          <w:rFonts w:hint="eastAsia"/>
          <w:color w:val="auto"/>
          <w:lang w:eastAsia="zh-CN"/>
        </w:rPr>
        <w:t>2016</w:t>
      </w:r>
      <w:r>
        <w:rPr>
          <w:rFonts w:hint="eastAsia"/>
          <w:color w:val="auto"/>
          <w:lang w:eastAsia="zh-CN"/>
        </w:rPr>
        <w:t>年，主营电动越野摩托车研发与生产，其旗下的</w:t>
      </w:r>
      <w:proofErr w:type="gramStart"/>
      <w:r>
        <w:rPr>
          <w:rFonts w:hint="eastAsia"/>
          <w:color w:val="auto"/>
          <w:lang w:eastAsia="zh-CN"/>
        </w:rPr>
        <w:t>“</w:t>
      </w:r>
      <w:proofErr w:type="gramEnd"/>
      <w:r>
        <w:rPr>
          <w:rFonts w:hint="eastAsia"/>
          <w:color w:val="auto"/>
          <w:lang w:eastAsia="zh-CN"/>
        </w:rPr>
        <w:t>轻蜂“系列电动越野摩托车在</w:t>
      </w:r>
      <w:r>
        <w:rPr>
          <w:rFonts w:hint="eastAsia"/>
          <w:color w:val="auto"/>
          <w:lang w:eastAsia="zh-CN"/>
        </w:rPr>
        <w:t>2017</w:t>
      </w:r>
      <w:r>
        <w:rPr>
          <w:rFonts w:hint="eastAsia"/>
          <w:color w:val="auto"/>
          <w:lang w:eastAsia="zh-CN"/>
        </w:rPr>
        <w:t>年问世后，凭借独特外观设计与轻量化结构风靡北美高端休闲骑行市场。被告探骊动力成立于</w:t>
      </w:r>
      <w:r>
        <w:rPr>
          <w:rFonts w:hint="eastAsia"/>
          <w:color w:val="auto"/>
          <w:lang w:eastAsia="zh-CN"/>
        </w:rPr>
        <w:t>2019</w:t>
      </w:r>
      <w:r>
        <w:rPr>
          <w:rFonts w:hint="eastAsia"/>
          <w:color w:val="auto"/>
          <w:lang w:eastAsia="zh-CN"/>
        </w:rPr>
        <w:t>年，其核心成员曾在虬龙科技就职，知悉大量产品设计信息，并掌握了产品销售渠道资源。</w:t>
      </w:r>
      <w:r>
        <w:rPr>
          <w:rFonts w:hint="eastAsia"/>
          <w:color w:val="auto"/>
          <w:lang w:eastAsia="zh-CN"/>
        </w:rPr>
        <w:t>2020</w:t>
      </w:r>
      <w:r>
        <w:rPr>
          <w:rFonts w:hint="eastAsia"/>
          <w:color w:val="auto"/>
          <w:lang w:eastAsia="zh-CN"/>
        </w:rPr>
        <w:t>至</w:t>
      </w:r>
      <w:r>
        <w:rPr>
          <w:rFonts w:hint="eastAsia"/>
          <w:color w:val="auto"/>
          <w:lang w:eastAsia="zh-CN"/>
        </w:rPr>
        <w:t>2023</w:t>
      </w:r>
      <w:r>
        <w:rPr>
          <w:rFonts w:hint="eastAsia"/>
          <w:color w:val="auto"/>
          <w:lang w:eastAsia="zh-CN"/>
        </w:rPr>
        <w:t>年期间，探骊动力推出与“轻蜂“外观相似的同类产品，大批量低价倾销，挤压原告美国市场份额。</w:t>
      </w:r>
    </w:p>
    <w:p w14:paraId="04C644D2" w14:textId="77777777" w:rsidR="0002305D" w:rsidRDefault="00000000" w:rsidP="004B7AD5">
      <w:pPr>
        <w:kinsoku/>
        <w:spacing w:line="360" w:lineRule="auto"/>
        <w:ind w:firstLineChars="200" w:firstLine="480"/>
        <w:rPr>
          <w:color w:val="auto"/>
          <w:lang w:eastAsia="zh-CN"/>
        </w:rPr>
      </w:pPr>
      <w:r>
        <w:rPr>
          <w:rFonts w:hint="eastAsia"/>
          <w:color w:val="auto"/>
          <w:lang w:eastAsia="zh-CN"/>
        </w:rPr>
        <w:t>2023</w:t>
      </w:r>
      <w:r>
        <w:rPr>
          <w:rFonts w:hint="eastAsia"/>
          <w:color w:val="auto"/>
          <w:lang w:eastAsia="zh-CN"/>
        </w:rPr>
        <w:t>年</w:t>
      </w:r>
      <w:r>
        <w:rPr>
          <w:rFonts w:hint="eastAsia"/>
          <w:color w:val="auto"/>
          <w:lang w:eastAsia="zh-CN"/>
        </w:rPr>
        <w:t>4</w:t>
      </w:r>
      <w:r>
        <w:rPr>
          <w:rFonts w:hint="eastAsia"/>
          <w:color w:val="auto"/>
          <w:lang w:eastAsia="zh-CN"/>
        </w:rPr>
        <w:t>月，虬龙科技正式在美提起专利侵权诉讼，同时依托国内诉讼同步取证。</w:t>
      </w:r>
    </w:p>
    <w:p w14:paraId="454AD965" w14:textId="77777777" w:rsidR="0002305D" w:rsidRDefault="0002305D" w:rsidP="004B7AD5">
      <w:pPr>
        <w:kinsoku/>
        <w:spacing w:line="360" w:lineRule="auto"/>
        <w:ind w:firstLineChars="200" w:firstLine="482"/>
        <w:rPr>
          <w:b/>
          <w:bCs/>
          <w:color w:val="auto"/>
          <w:lang w:eastAsia="zh-CN"/>
        </w:rPr>
      </w:pPr>
    </w:p>
    <w:p w14:paraId="6382DEDE" w14:textId="77777777" w:rsidR="0002305D" w:rsidRDefault="00000000" w:rsidP="004B7AD5">
      <w:pPr>
        <w:kinsoku/>
        <w:spacing w:line="360" w:lineRule="auto"/>
        <w:ind w:firstLineChars="200" w:firstLine="482"/>
        <w:rPr>
          <w:b/>
          <w:bCs/>
          <w:color w:val="auto"/>
          <w:lang w:eastAsia="zh-CN"/>
        </w:rPr>
      </w:pPr>
      <w:r>
        <w:rPr>
          <w:rFonts w:hint="eastAsia"/>
          <w:b/>
          <w:bCs/>
          <w:color w:val="auto"/>
          <w:lang w:eastAsia="zh-CN"/>
        </w:rPr>
        <w:lastRenderedPageBreak/>
        <w:t>三、核心争议焦点及结果</w:t>
      </w:r>
    </w:p>
    <w:p w14:paraId="2EACC90F" w14:textId="77777777" w:rsidR="0002305D" w:rsidRDefault="00000000" w:rsidP="004B7AD5">
      <w:pPr>
        <w:kinsoku/>
        <w:spacing w:line="360" w:lineRule="auto"/>
        <w:ind w:firstLineChars="200" w:firstLine="480"/>
        <w:rPr>
          <w:color w:val="auto"/>
          <w:lang w:eastAsia="zh-CN"/>
        </w:rPr>
      </w:pPr>
      <w:r>
        <w:rPr>
          <w:rFonts w:hint="eastAsia"/>
          <w:color w:val="auto"/>
          <w:lang w:eastAsia="zh-CN"/>
        </w:rPr>
        <w:t>本案主要存在以下几项核心焦点：</w:t>
      </w:r>
    </w:p>
    <w:p w14:paraId="35AA1932" w14:textId="77777777" w:rsidR="0002305D" w:rsidRDefault="00000000" w:rsidP="004B7AD5">
      <w:pPr>
        <w:kinsoku/>
        <w:spacing w:line="360" w:lineRule="auto"/>
        <w:ind w:firstLineChars="200" w:firstLine="480"/>
        <w:rPr>
          <w:color w:val="auto"/>
          <w:lang w:eastAsia="zh-CN"/>
        </w:rPr>
      </w:pPr>
      <w:r>
        <w:rPr>
          <w:rFonts w:hint="eastAsia"/>
          <w:color w:val="auto"/>
          <w:lang w:eastAsia="zh-CN"/>
        </w:rPr>
        <w:t>司法管辖争议：探</w:t>
      </w:r>
      <w:proofErr w:type="gramStart"/>
      <w:r>
        <w:rPr>
          <w:rFonts w:hint="eastAsia"/>
          <w:color w:val="auto"/>
          <w:lang w:eastAsia="zh-CN"/>
        </w:rPr>
        <w:t>骊</w:t>
      </w:r>
      <w:proofErr w:type="gramEnd"/>
      <w:r>
        <w:rPr>
          <w:rFonts w:hint="eastAsia"/>
          <w:color w:val="auto"/>
          <w:lang w:eastAsia="zh-CN"/>
        </w:rPr>
        <w:t>动力先后以“不方便法院原则”和</w:t>
      </w:r>
      <w:bookmarkStart w:id="0" w:name="OLE_LINK1"/>
      <w:r>
        <w:rPr>
          <w:rFonts w:hint="eastAsia"/>
          <w:color w:val="auto"/>
          <w:lang w:eastAsia="zh-CN"/>
        </w:rPr>
        <w:t>“国际礼让原则</w:t>
      </w:r>
      <w:bookmarkEnd w:id="0"/>
      <w:r>
        <w:rPr>
          <w:rFonts w:hint="eastAsia"/>
          <w:color w:val="auto"/>
          <w:lang w:eastAsia="zh-CN"/>
        </w:rPr>
        <w:t>”提出管辖异议，主张争议双方均为中国主体，纠纷由中国法院处理更加方便，且同一争议已在中国法院进入诉讼流程，美国法院应基于对外国主权的尊重放弃管辖。西区联邦法院则认定美国市场范围内的美国专利侵权纠纷，不受平行诉讼约束，法院有权独立审理并</w:t>
      </w:r>
      <w:proofErr w:type="gramStart"/>
      <w:r>
        <w:rPr>
          <w:rFonts w:hint="eastAsia"/>
          <w:color w:val="auto"/>
          <w:lang w:eastAsia="zh-CN"/>
        </w:rPr>
        <w:t>作出</w:t>
      </w:r>
      <w:proofErr w:type="gramEnd"/>
      <w:r>
        <w:rPr>
          <w:rFonts w:hint="eastAsia"/>
          <w:color w:val="auto"/>
          <w:lang w:eastAsia="zh-CN"/>
        </w:rPr>
        <w:t>裁判，驳回了被告的管辖权异议。‌‌</w:t>
      </w:r>
    </w:p>
    <w:p w14:paraId="59955759" w14:textId="77777777" w:rsidR="0002305D" w:rsidRDefault="00000000" w:rsidP="004B7AD5">
      <w:pPr>
        <w:kinsoku/>
        <w:spacing w:line="360" w:lineRule="auto"/>
        <w:ind w:firstLineChars="200" w:firstLine="480"/>
        <w:rPr>
          <w:color w:val="auto"/>
          <w:lang w:eastAsia="zh-CN"/>
        </w:rPr>
      </w:pPr>
      <w:r>
        <w:rPr>
          <w:rFonts w:hint="eastAsia"/>
          <w:color w:val="auto"/>
          <w:lang w:eastAsia="zh-CN"/>
        </w:rPr>
        <w:t>独创性争议：探</w:t>
      </w:r>
      <w:proofErr w:type="gramStart"/>
      <w:r>
        <w:rPr>
          <w:rFonts w:hint="eastAsia"/>
          <w:color w:val="auto"/>
          <w:lang w:eastAsia="zh-CN"/>
        </w:rPr>
        <w:t>骊</w:t>
      </w:r>
      <w:proofErr w:type="gramEnd"/>
      <w:r>
        <w:rPr>
          <w:rFonts w:hint="eastAsia"/>
          <w:color w:val="auto"/>
          <w:lang w:eastAsia="zh-CN"/>
        </w:rPr>
        <w:t>动力辩称被诉侵权产品的结构布局等设计要素属于行业通用功能性结构，不具备独创性，不应纳入外观专利独占保护范围，且被诉侵权产品在内部结构方面</w:t>
      </w:r>
      <w:proofErr w:type="gramStart"/>
      <w:r>
        <w:rPr>
          <w:rFonts w:hint="eastAsia"/>
          <w:color w:val="auto"/>
          <w:lang w:eastAsia="zh-CN"/>
        </w:rPr>
        <w:t>与轻蜂系列产品</w:t>
      </w:r>
      <w:proofErr w:type="gramEnd"/>
      <w:r>
        <w:rPr>
          <w:rFonts w:hint="eastAsia"/>
          <w:color w:val="auto"/>
          <w:lang w:eastAsia="zh-CN"/>
        </w:rPr>
        <w:t>存在根本的技术性差异，整体轮廓、部分细节亦有所不同，因此不构成对涉案外观专利的侵权。法院适用普通观察者测试（</w:t>
      </w:r>
      <w:r>
        <w:rPr>
          <w:rFonts w:hint="eastAsia"/>
          <w:color w:val="auto"/>
          <w:lang w:eastAsia="zh-CN"/>
        </w:rPr>
        <w:t>The Ordinary Observer Test</w:t>
      </w:r>
      <w:r>
        <w:rPr>
          <w:rFonts w:hint="eastAsia"/>
          <w:color w:val="auto"/>
          <w:lang w:eastAsia="zh-CN"/>
        </w:rPr>
        <w:t>）标准进行认定，这是美国法院进行外观专利侵权判定时采用的核心标准，即忽略专业技术细节，从普通消费者的视角出发，判断被控侵权产品是否可能构成对消费者的误导，使其认为与案</w:t>
      </w:r>
      <w:proofErr w:type="gramStart"/>
      <w:r>
        <w:rPr>
          <w:rFonts w:hint="eastAsia"/>
          <w:color w:val="auto"/>
          <w:lang w:eastAsia="zh-CN"/>
        </w:rPr>
        <w:t>涉专利</w:t>
      </w:r>
      <w:proofErr w:type="gramEnd"/>
      <w:r>
        <w:rPr>
          <w:rFonts w:hint="eastAsia"/>
          <w:color w:val="auto"/>
          <w:lang w:eastAsia="zh-CN"/>
        </w:rPr>
        <w:t>来自同一来源，换言之，即使两款产品的技术路线在专业技术人员的眼中完全不同，但只要普通消费者有很大可能将两款产品混淆，即足以构成对外观专利的侵权。根据这一标准，法院认定被告对被控侵权产品的细微改动无法规避专利侵权。</w:t>
      </w:r>
    </w:p>
    <w:p w14:paraId="5144D669" w14:textId="77777777" w:rsidR="0002305D" w:rsidRDefault="00000000" w:rsidP="004B7AD5">
      <w:pPr>
        <w:kinsoku/>
        <w:spacing w:line="360" w:lineRule="auto"/>
        <w:ind w:firstLineChars="200" w:firstLine="480"/>
        <w:rPr>
          <w:color w:val="auto"/>
          <w:lang w:eastAsia="zh-CN"/>
        </w:rPr>
      </w:pPr>
      <w:r>
        <w:rPr>
          <w:rFonts w:hint="eastAsia"/>
          <w:color w:val="auto"/>
          <w:lang w:eastAsia="zh-CN"/>
        </w:rPr>
        <w:t>故意侵权定性争议：被告否认主张产品为独立研发，不存在故意侵权情形。故意侵权</w:t>
      </w:r>
      <w:r>
        <w:rPr>
          <w:rFonts w:hint="eastAsia"/>
          <w:color w:val="auto"/>
          <w:lang w:eastAsia="zh-CN"/>
        </w:rPr>
        <w:t>(Willful Infringement)</w:t>
      </w:r>
      <w:r>
        <w:rPr>
          <w:rFonts w:hint="eastAsia"/>
          <w:color w:val="auto"/>
          <w:lang w:eastAsia="zh-CN"/>
        </w:rPr>
        <w:t>，是美国专利法中针对主观恶意侵犯专利权的特殊侵权形态，指侵权人在明知专利权存在且明知自己行为构成侵权的情况下，仍蓄意实施侵权行为的情形，在故意侵权情形下适用加重赔偿责任，法院可视情况将提高损害赔偿金，最高可达基础赔偿金的三倍。本案中，结合探</w:t>
      </w:r>
      <w:proofErr w:type="gramStart"/>
      <w:r>
        <w:rPr>
          <w:rFonts w:hint="eastAsia"/>
          <w:color w:val="auto"/>
          <w:lang w:eastAsia="zh-CN"/>
        </w:rPr>
        <w:t>骊</w:t>
      </w:r>
      <w:proofErr w:type="gramEnd"/>
      <w:r>
        <w:rPr>
          <w:rFonts w:hint="eastAsia"/>
          <w:color w:val="auto"/>
          <w:lang w:eastAsia="zh-CN"/>
        </w:rPr>
        <w:t>动力核心研发人员曾任职于虬龙科技的背景，法院推定被告明知涉案专利</w:t>
      </w:r>
      <w:proofErr w:type="gramStart"/>
      <w:r>
        <w:rPr>
          <w:rFonts w:hint="eastAsia"/>
          <w:color w:val="auto"/>
          <w:lang w:eastAsia="zh-CN"/>
        </w:rPr>
        <w:t>存在仍</w:t>
      </w:r>
      <w:proofErr w:type="gramEnd"/>
      <w:r>
        <w:rPr>
          <w:rFonts w:hint="eastAsia"/>
          <w:color w:val="auto"/>
          <w:lang w:eastAsia="zh-CN"/>
        </w:rPr>
        <w:t>持续仿制销售，构成故意侵权。同时参照美国最高法院在</w:t>
      </w:r>
      <w:r>
        <w:rPr>
          <w:rFonts w:hint="eastAsia"/>
          <w:color w:val="auto"/>
          <w:lang w:eastAsia="zh-CN"/>
        </w:rPr>
        <w:t>eBay</w:t>
      </w:r>
      <w:r>
        <w:rPr>
          <w:rFonts w:hint="eastAsia"/>
          <w:color w:val="auto"/>
          <w:lang w:eastAsia="zh-CN"/>
        </w:rPr>
        <w:t>诉</w:t>
      </w:r>
      <w:r>
        <w:rPr>
          <w:rFonts w:hint="eastAsia"/>
          <w:color w:val="auto"/>
          <w:lang w:eastAsia="zh-CN"/>
        </w:rPr>
        <w:t>MercExchange</w:t>
      </w:r>
      <w:r>
        <w:rPr>
          <w:rFonts w:hint="eastAsia"/>
          <w:color w:val="auto"/>
          <w:lang w:eastAsia="zh-CN"/>
        </w:rPr>
        <w:t>一案中确立的规则，认定本案满足了核发永久禁令的“四要素”：（</w:t>
      </w:r>
      <w:r>
        <w:rPr>
          <w:rFonts w:hint="eastAsia"/>
          <w:color w:val="auto"/>
          <w:lang w:eastAsia="zh-CN"/>
        </w:rPr>
        <w:t>1</w:t>
      </w:r>
      <w:r>
        <w:rPr>
          <w:rFonts w:hint="eastAsia"/>
          <w:color w:val="auto"/>
          <w:lang w:eastAsia="zh-CN"/>
        </w:rPr>
        <w:t>）原告遭受了不可弥补的损害；（</w:t>
      </w:r>
      <w:r>
        <w:rPr>
          <w:rFonts w:hint="eastAsia"/>
          <w:color w:val="auto"/>
          <w:lang w:eastAsia="zh-CN"/>
        </w:rPr>
        <w:t>2</w:t>
      </w:r>
      <w:r>
        <w:rPr>
          <w:rFonts w:hint="eastAsia"/>
          <w:color w:val="auto"/>
          <w:lang w:eastAsia="zh-CN"/>
        </w:rPr>
        <w:t>）金钱赔偿不足以弥补损害；（</w:t>
      </w:r>
      <w:r>
        <w:rPr>
          <w:rFonts w:hint="eastAsia"/>
          <w:color w:val="auto"/>
          <w:lang w:eastAsia="zh-CN"/>
        </w:rPr>
        <w:t>3</w:t>
      </w:r>
      <w:r>
        <w:rPr>
          <w:rFonts w:hint="eastAsia"/>
          <w:color w:val="auto"/>
          <w:lang w:eastAsia="zh-CN"/>
        </w:rPr>
        <w:t>）权衡双方困难，衡平救济（禁令）合理；（</w:t>
      </w:r>
      <w:r>
        <w:rPr>
          <w:rFonts w:hint="eastAsia"/>
          <w:color w:val="auto"/>
          <w:lang w:eastAsia="zh-CN"/>
        </w:rPr>
        <w:t>4</w:t>
      </w:r>
      <w:r>
        <w:rPr>
          <w:rFonts w:hint="eastAsia"/>
          <w:color w:val="auto"/>
          <w:lang w:eastAsia="zh-CN"/>
        </w:rPr>
        <w:t>）发布禁令不损害公共利益。据此，法院向探</w:t>
      </w:r>
      <w:proofErr w:type="gramStart"/>
      <w:r>
        <w:rPr>
          <w:rFonts w:hint="eastAsia"/>
          <w:color w:val="auto"/>
          <w:lang w:eastAsia="zh-CN"/>
        </w:rPr>
        <w:t>骊</w:t>
      </w:r>
      <w:proofErr w:type="gramEnd"/>
      <w:r>
        <w:rPr>
          <w:rFonts w:hint="eastAsia"/>
          <w:color w:val="auto"/>
          <w:lang w:eastAsia="zh-CN"/>
        </w:rPr>
        <w:t>动力下达了永久禁令，永久禁止探骊动力及其相关主体（包括关联公司、关联人员）在美国</w:t>
      </w:r>
      <w:r>
        <w:rPr>
          <w:rFonts w:hint="eastAsia"/>
          <w:color w:val="auto"/>
          <w:lang w:eastAsia="zh-CN"/>
        </w:rPr>
        <w:t>)</w:t>
      </w:r>
      <w:r>
        <w:rPr>
          <w:rFonts w:hint="eastAsia"/>
          <w:color w:val="auto"/>
          <w:lang w:eastAsia="zh-CN"/>
        </w:rPr>
        <w:t>在美国境内制造、使用、许诺销售、销售或进口任何侵权产品及相关核心组件，乃至禁止探骊动力以任何方式宣传、推广被控侵权产品。这一措施对探</w:t>
      </w:r>
      <w:proofErr w:type="gramStart"/>
      <w:r>
        <w:rPr>
          <w:rFonts w:hint="eastAsia"/>
          <w:color w:val="auto"/>
          <w:lang w:eastAsia="zh-CN"/>
        </w:rPr>
        <w:t>骊</w:t>
      </w:r>
      <w:proofErr w:type="gramEnd"/>
      <w:r>
        <w:rPr>
          <w:rFonts w:hint="eastAsia"/>
          <w:color w:val="auto"/>
          <w:lang w:eastAsia="zh-CN"/>
        </w:rPr>
        <w:t>动力销售渠道、产品</w:t>
      </w:r>
      <w:r>
        <w:rPr>
          <w:rFonts w:hint="eastAsia"/>
          <w:color w:val="auto"/>
          <w:lang w:eastAsia="zh-CN"/>
        </w:rPr>
        <w:lastRenderedPageBreak/>
        <w:t>库存、品牌合作的冲击是根本性、毁灭性的，其惩处的力度远远大于一次性金钱赔偿。</w:t>
      </w:r>
    </w:p>
    <w:p w14:paraId="58E25542" w14:textId="77777777" w:rsidR="0002305D" w:rsidRDefault="0002305D" w:rsidP="004B7AD5">
      <w:pPr>
        <w:kinsoku/>
        <w:spacing w:line="360" w:lineRule="auto"/>
        <w:ind w:firstLineChars="200" w:firstLine="480"/>
        <w:rPr>
          <w:color w:val="auto"/>
          <w:lang w:eastAsia="zh-CN"/>
        </w:rPr>
      </w:pPr>
    </w:p>
    <w:p w14:paraId="7DED9A04" w14:textId="77777777" w:rsidR="0002305D" w:rsidRDefault="00000000" w:rsidP="004B7AD5">
      <w:pPr>
        <w:kinsoku/>
        <w:spacing w:line="360" w:lineRule="auto"/>
        <w:ind w:firstLineChars="200" w:firstLine="482"/>
        <w:rPr>
          <w:color w:val="auto"/>
          <w:lang w:eastAsia="zh-CN"/>
        </w:rPr>
      </w:pPr>
      <w:r>
        <w:rPr>
          <w:rFonts w:hint="eastAsia"/>
          <w:b/>
          <w:bCs/>
          <w:color w:val="auto"/>
          <w:lang w:eastAsia="zh-CN"/>
        </w:rPr>
        <w:t>四、案例评析</w:t>
      </w:r>
    </w:p>
    <w:p w14:paraId="1F3A91E0" w14:textId="77777777" w:rsidR="0002305D" w:rsidRDefault="00000000" w:rsidP="004B7AD5">
      <w:pPr>
        <w:kinsoku/>
        <w:spacing w:line="360" w:lineRule="auto"/>
        <w:ind w:firstLineChars="200" w:firstLine="480"/>
        <w:rPr>
          <w:color w:val="auto"/>
          <w:lang w:eastAsia="zh-CN"/>
        </w:rPr>
      </w:pPr>
      <w:r>
        <w:rPr>
          <w:rFonts w:hint="eastAsia"/>
          <w:color w:val="auto"/>
          <w:lang w:eastAsia="zh-CN"/>
        </w:rPr>
        <w:t>本案是中国电动摩托车企业海外</w:t>
      </w:r>
      <w:proofErr w:type="gramStart"/>
      <w:r>
        <w:rPr>
          <w:rFonts w:hint="eastAsia"/>
          <w:color w:val="auto"/>
          <w:lang w:eastAsia="zh-CN"/>
        </w:rPr>
        <w:t>知产维</w:t>
      </w:r>
      <w:proofErr w:type="gramEnd"/>
      <w:r>
        <w:rPr>
          <w:rFonts w:hint="eastAsia"/>
          <w:color w:val="auto"/>
          <w:lang w:eastAsia="zh-CN"/>
        </w:rPr>
        <w:t>权的标杆案例。该案件中，被告探</w:t>
      </w:r>
      <w:proofErr w:type="gramStart"/>
      <w:r>
        <w:rPr>
          <w:rFonts w:hint="eastAsia"/>
          <w:color w:val="auto"/>
          <w:lang w:eastAsia="zh-CN"/>
        </w:rPr>
        <w:t>骊</w:t>
      </w:r>
      <w:proofErr w:type="gramEnd"/>
      <w:r>
        <w:rPr>
          <w:rFonts w:hint="eastAsia"/>
          <w:color w:val="auto"/>
          <w:lang w:eastAsia="zh-CN"/>
        </w:rPr>
        <w:t>动力的侵权模式是出海制造业低端抄袭的典型缩影：依托行业人员流动窃取设计灵感和销售渠道，以微小改动规避表层比对，依靠低价抢占海外下沉市场。该模式无需高额研发投入，短期获利快，但严重破坏行业创新生态。此类侵权隐蔽性强，常规外观比对难以定性，而本案击穿了这种“微调式”抄袭的规避漏洞，对同类侵权行为形成有力震慑。</w:t>
      </w:r>
    </w:p>
    <w:p w14:paraId="24FB131F" w14:textId="77777777" w:rsidR="0002305D" w:rsidRDefault="00000000" w:rsidP="004B7AD5">
      <w:pPr>
        <w:kinsoku/>
        <w:spacing w:line="360" w:lineRule="auto"/>
        <w:ind w:firstLineChars="200" w:firstLine="480"/>
        <w:rPr>
          <w:color w:val="auto"/>
          <w:lang w:eastAsia="zh-CN"/>
        </w:rPr>
      </w:pPr>
      <w:r>
        <w:rPr>
          <w:rFonts w:hint="eastAsia"/>
          <w:color w:val="auto"/>
          <w:lang w:eastAsia="zh-CN"/>
        </w:rPr>
        <w:t>除了本案中适用的司法管辖原则、外观专利侵权判定标准和故意侵权的成立要件等</w:t>
      </w:r>
      <w:proofErr w:type="gramStart"/>
      <w:r>
        <w:rPr>
          <w:rFonts w:hint="eastAsia"/>
          <w:color w:val="auto"/>
          <w:lang w:eastAsia="zh-CN"/>
        </w:rPr>
        <w:t>“</w:t>
      </w:r>
      <w:proofErr w:type="gramEnd"/>
      <w:r>
        <w:rPr>
          <w:rFonts w:hint="eastAsia"/>
          <w:color w:val="auto"/>
          <w:lang w:eastAsia="zh-CN"/>
        </w:rPr>
        <w:t>技术性的“法律问题外，案件本身具备的国际视野亦值得众多出海企业关注：两家知名车企在美对决，将维权舞台向外拓展至国际，打破了外界对“中国企业互相抄袭、海外维权难”的固有认知，证明企业完全可依托海外专利布局，借助目标国家专利体系和司法制度在域外维护自身权益，获得千万级巨额赔偿，无疑为出海企业提供了域外专利布局、跨境诉讼维权方面可供参考的实践范本。</w:t>
      </w:r>
    </w:p>
    <w:p w14:paraId="4F195072" w14:textId="77777777" w:rsidR="0002305D" w:rsidRDefault="0002305D" w:rsidP="004B7AD5">
      <w:pPr>
        <w:kinsoku/>
        <w:spacing w:line="360" w:lineRule="auto"/>
        <w:ind w:firstLineChars="200" w:firstLine="480"/>
        <w:rPr>
          <w:color w:val="auto"/>
          <w:lang w:eastAsia="zh-CN"/>
        </w:rPr>
      </w:pPr>
    </w:p>
    <w:p w14:paraId="19300A7F" w14:textId="77777777" w:rsidR="0002305D" w:rsidRDefault="00000000" w:rsidP="004B7AD5">
      <w:pPr>
        <w:numPr>
          <w:ilvl w:val="0"/>
          <w:numId w:val="1"/>
        </w:numPr>
        <w:kinsoku/>
        <w:spacing w:line="360" w:lineRule="auto"/>
        <w:ind w:firstLineChars="200" w:firstLine="482"/>
        <w:rPr>
          <w:b/>
          <w:bCs/>
          <w:color w:val="auto"/>
          <w:lang w:eastAsia="zh-CN"/>
        </w:rPr>
      </w:pPr>
      <w:r>
        <w:rPr>
          <w:rFonts w:hint="eastAsia"/>
          <w:b/>
          <w:bCs/>
          <w:color w:val="auto"/>
          <w:lang w:eastAsia="zh-CN"/>
        </w:rPr>
        <w:t>价值和示范作用（对出海企业的启示和风险防范建议）</w:t>
      </w:r>
    </w:p>
    <w:p w14:paraId="630F5EE2" w14:textId="77777777" w:rsidR="0002305D" w:rsidRDefault="00000000" w:rsidP="004B7AD5">
      <w:pPr>
        <w:kinsoku/>
        <w:spacing w:line="360" w:lineRule="auto"/>
        <w:ind w:firstLineChars="200" w:firstLine="480"/>
        <w:rPr>
          <w:color w:val="auto"/>
          <w:lang w:eastAsia="zh-CN"/>
        </w:rPr>
      </w:pPr>
      <w:r>
        <w:rPr>
          <w:rFonts w:hint="eastAsia"/>
          <w:color w:val="auto"/>
          <w:lang w:eastAsia="zh-CN"/>
        </w:rPr>
        <w:t>1</w:t>
      </w:r>
      <w:r>
        <w:rPr>
          <w:rFonts w:hint="eastAsia"/>
          <w:color w:val="auto"/>
          <w:lang w:eastAsia="zh-CN"/>
        </w:rPr>
        <w:t>、提前完成海外专利确权，筑牢基础维权屏障。虬龙科技在本案中获胜的前提，在于其早在</w:t>
      </w:r>
      <w:r>
        <w:rPr>
          <w:rFonts w:hint="eastAsia"/>
          <w:color w:val="auto"/>
          <w:lang w:eastAsia="zh-CN"/>
        </w:rPr>
        <w:t>2017</w:t>
      </w:r>
      <w:r>
        <w:rPr>
          <w:rFonts w:hint="eastAsia"/>
          <w:color w:val="auto"/>
          <w:lang w:eastAsia="zh-CN"/>
        </w:rPr>
        <w:t>年就完成了案</w:t>
      </w:r>
      <w:proofErr w:type="gramStart"/>
      <w:r>
        <w:rPr>
          <w:rFonts w:hint="eastAsia"/>
          <w:color w:val="auto"/>
          <w:lang w:eastAsia="zh-CN"/>
        </w:rPr>
        <w:t>涉产品</w:t>
      </w:r>
      <w:proofErr w:type="gramEnd"/>
      <w:r>
        <w:rPr>
          <w:rFonts w:hint="eastAsia"/>
          <w:color w:val="auto"/>
          <w:lang w:eastAsia="zh-CN"/>
        </w:rPr>
        <w:t>的相应专利申请，拥有了维权的法律基础。准备拓展海外市场的企业不可忽视海外外观专利布局，应当依据产品销售区域，尽早在目标国家完成出海产品专利、商标的确权。</w:t>
      </w:r>
    </w:p>
    <w:p w14:paraId="5FB7FF82" w14:textId="77777777" w:rsidR="0002305D" w:rsidRDefault="00000000" w:rsidP="004B7AD5">
      <w:pPr>
        <w:kinsoku/>
        <w:spacing w:line="360" w:lineRule="auto"/>
        <w:ind w:firstLineChars="200" w:firstLine="480"/>
        <w:rPr>
          <w:color w:val="auto"/>
          <w:lang w:eastAsia="zh-CN"/>
        </w:rPr>
      </w:pPr>
      <w:r>
        <w:rPr>
          <w:rFonts w:hint="eastAsia"/>
          <w:color w:val="auto"/>
          <w:lang w:eastAsia="zh-CN"/>
        </w:rPr>
        <w:t>2</w:t>
      </w:r>
      <w:r>
        <w:rPr>
          <w:rFonts w:hint="eastAsia"/>
          <w:color w:val="auto"/>
          <w:lang w:eastAsia="zh-CN"/>
        </w:rPr>
        <w:t>、注重知识产权证据的保存和管理，构建完整证据链。根据目前披露的法律文书和媒体报道，虬龙科技在本案中提供了案</w:t>
      </w:r>
      <w:proofErr w:type="gramStart"/>
      <w:r>
        <w:rPr>
          <w:rFonts w:hint="eastAsia"/>
          <w:color w:val="auto"/>
          <w:lang w:eastAsia="zh-CN"/>
        </w:rPr>
        <w:t>涉产品</w:t>
      </w:r>
      <w:proofErr w:type="gramEnd"/>
      <w:r>
        <w:rPr>
          <w:rFonts w:hint="eastAsia"/>
          <w:color w:val="auto"/>
          <w:lang w:eastAsia="zh-CN"/>
        </w:rPr>
        <w:t>的完整设计手稿、专利文件和市场拓展证据，用完整的证据</w:t>
      </w:r>
      <w:proofErr w:type="gramStart"/>
      <w:r>
        <w:rPr>
          <w:rFonts w:hint="eastAsia"/>
          <w:color w:val="auto"/>
          <w:lang w:eastAsia="zh-CN"/>
        </w:rPr>
        <w:t>链证明</w:t>
      </w:r>
      <w:proofErr w:type="gramEnd"/>
      <w:r>
        <w:rPr>
          <w:rFonts w:hint="eastAsia"/>
          <w:color w:val="auto"/>
          <w:lang w:eastAsia="zh-CN"/>
        </w:rPr>
        <w:t>了案</w:t>
      </w:r>
      <w:proofErr w:type="gramStart"/>
      <w:r>
        <w:rPr>
          <w:rFonts w:hint="eastAsia"/>
          <w:color w:val="auto"/>
          <w:lang w:eastAsia="zh-CN"/>
        </w:rPr>
        <w:t>涉产品</w:t>
      </w:r>
      <w:proofErr w:type="gramEnd"/>
      <w:r>
        <w:rPr>
          <w:rFonts w:hint="eastAsia"/>
          <w:color w:val="auto"/>
          <w:lang w:eastAsia="zh-CN"/>
        </w:rPr>
        <w:t>的独立性和原创性。出海企业应注重</w:t>
      </w:r>
      <w:proofErr w:type="gramStart"/>
      <w:r>
        <w:rPr>
          <w:rFonts w:hint="eastAsia"/>
          <w:color w:val="auto"/>
          <w:lang w:eastAsia="zh-CN"/>
        </w:rPr>
        <w:t>此类知产证据</w:t>
      </w:r>
      <w:proofErr w:type="gramEnd"/>
      <w:r>
        <w:rPr>
          <w:rFonts w:hint="eastAsia"/>
          <w:color w:val="auto"/>
          <w:lang w:eastAsia="zh-CN"/>
        </w:rPr>
        <w:t>的管理，可以考虑建立研发底稿存档制度，同时留存设计时序、修改记录，既可用于主动维护自身权益，也可用于应对可能的被控侵权争议。</w:t>
      </w:r>
    </w:p>
    <w:p w14:paraId="30D1FE49" w14:textId="77777777" w:rsidR="0002305D" w:rsidRDefault="00000000" w:rsidP="004B7AD5">
      <w:pPr>
        <w:kinsoku/>
        <w:spacing w:line="360" w:lineRule="auto"/>
        <w:ind w:firstLineChars="200" w:firstLine="480"/>
        <w:rPr>
          <w:color w:val="auto"/>
          <w:lang w:eastAsia="zh-CN"/>
        </w:rPr>
      </w:pPr>
      <w:r>
        <w:rPr>
          <w:rFonts w:hint="eastAsia"/>
          <w:color w:val="auto"/>
          <w:lang w:eastAsia="zh-CN"/>
        </w:rPr>
        <w:t>3</w:t>
      </w:r>
      <w:r>
        <w:rPr>
          <w:rFonts w:hint="eastAsia"/>
          <w:color w:val="auto"/>
          <w:lang w:eastAsia="zh-CN"/>
        </w:rPr>
        <w:t>、建立竞业限制和保密管理制度，降低泄密概率。人员流动</w:t>
      </w:r>
      <w:proofErr w:type="gramStart"/>
      <w:r>
        <w:rPr>
          <w:rFonts w:hint="eastAsia"/>
          <w:color w:val="auto"/>
          <w:lang w:eastAsia="zh-CN"/>
        </w:rPr>
        <w:t>是科创企业</w:t>
      </w:r>
      <w:proofErr w:type="gramEnd"/>
      <w:r>
        <w:rPr>
          <w:rFonts w:hint="eastAsia"/>
          <w:color w:val="auto"/>
          <w:lang w:eastAsia="zh-CN"/>
        </w:rPr>
        <w:t>最大的泄密隐患，行业跳槽带来的销售渠道、设计资源流动，极易引发隐性侵权可</w:t>
      </w:r>
      <w:r>
        <w:rPr>
          <w:rFonts w:hint="eastAsia"/>
          <w:color w:val="auto"/>
          <w:lang w:eastAsia="zh-CN"/>
        </w:rPr>
        <w:lastRenderedPageBreak/>
        <w:t>能。出海企业应当完善涉密人员管控，例如与核心研发人员签订竞业限制、保密协议，建立人员离职</w:t>
      </w:r>
      <w:proofErr w:type="gramStart"/>
      <w:r>
        <w:rPr>
          <w:rFonts w:hint="eastAsia"/>
          <w:color w:val="auto"/>
          <w:lang w:eastAsia="zh-CN"/>
        </w:rPr>
        <w:t>脱密制度</w:t>
      </w:r>
      <w:proofErr w:type="gramEnd"/>
      <w:r>
        <w:rPr>
          <w:rFonts w:hint="eastAsia"/>
          <w:color w:val="auto"/>
          <w:lang w:eastAsia="zh-CN"/>
        </w:rPr>
        <w:t>等。</w:t>
      </w:r>
    </w:p>
    <w:p w14:paraId="03150B1E" w14:textId="77777777" w:rsidR="0002305D" w:rsidRDefault="00000000" w:rsidP="004B7AD5">
      <w:pPr>
        <w:kinsoku/>
        <w:spacing w:line="360" w:lineRule="auto"/>
        <w:ind w:firstLineChars="200" w:firstLine="480"/>
        <w:rPr>
          <w:color w:val="auto"/>
          <w:lang w:eastAsia="zh-CN"/>
        </w:rPr>
      </w:pPr>
      <w:r>
        <w:rPr>
          <w:rFonts w:hint="eastAsia"/>
          <w:color w:val="auto"/>
          <w:lang w:eastAsia="zh-CN"/>
        </w:rPr>
        <w:t>4</w:t>
      </w:r>
      <w:r>
        <w:rPr>
          <w:rFonts w:hint="eastAsia"/>
          <w:color w:val="auto"/>
          <w:lang w:eastAsia="zh-CN"/>
        </w:rPr>
        <w:t>、建立上市前侵权排查流程，规避法律风险。产品进入新市场前，出海企业可以在目标地区委托专业机构</w:t>
      </w:r>
      <w:proofErr w:type="gramStart"/>
      <w:r>
        <w:rPr>
          <w:rFonts w:hint="eastAsia"/>
          <w:color w:val="auto"/>
          <w:lang w:eastAsia="zh-CN"/>
        </w:rPr>
        <w:t>进行竞品比对</w:t>
      </w:r>
      <w:proofErr w:type="gramEnd"/>
      <w:r>
        <w:rPr>
          <w:rFonts w:hint="eastAsia"/>
          <w:color w:val="auto"/>
          <w:lang w:eastAsia="zh-CN"/>
        </w:rPr>
        <w:t>分析，确保产品符合当地法律法规的要求，杜绝潜在的侵权风险。</w:t>
      </w:r>
    </w:p>
    <w:p w14:paraId="59583425" w14:textId="77777777" w:rsidR="0002305D" w:rsidRDefault="0002305D" w:rsidP="004B7AD5">
      <w:pPr>
        <w:kinsoku/>
        <w:spacing w:line="360" w:lineRule="auto"/>
        <w:ind w:firstLineChars="200" w:firstLine="480"/>
        <w:rPr>
          <w:lang w:eastAsia="zh-CN"/>
        </w:rPr>
      </w:pPr>
    </w:p>
    <w:sectPr w:rsidR="0002305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6760" w14:textId="77777777" w:rsidR="00E41238" w:rsidRDefault="00E41238">
      <w:r>
        <w:separator/>
      </w:r>
    </w:p>
  </w:endnote>
  <w:endnote w:type="continuationSeparator" w:id="0">
    <w:p w14:paraId="6353F285" w14:textId="77777777" w:rsidR="00E41238" w:rsidRDefault="00E4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5406" w14:textId="77777777" w:rsidR="009235EA" w:rsidRDefault="009235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036395"/>
      <w:docPartObj>
        <w:docPartGallery w:val="Page Numbers (Bottom of Page)"/>
        <w:docPartUnique/>
      </w:docPartObj>
    </w:sdtPr>
    <w:sdtContent>
      <w:sdt>
        <w:sdtPr>
          <w:id w:val="1728636285"/>
          <w:docPartObj>
            <w:docPartGallery w:val="Page Numbers (Top of Page)"/>
            <w:docPartUnique/>
          </w:docPartObj>
        </w:sdtPr>
        <w:sdtContent>
          <w:p w14:paraId="6CD325FA" w14:textId="5450CD6F" w:rsidR="009235EA" w:rsidRDefault="009235EA">
            <w:pPr>
              <w:pStyle w:val="a5"/>
              <w:jc w:val="center"/>
              <w:rPr>
                <w:rFonts w:hint="eastAsia"/>
              </w:rP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61AAF3A4" w14:textId="77777777" w:rsidR="009235EA" w:rsidRDefault="009235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6A77" w14:textId="77777777" w:rsidR="009235EA" w:rsidRDefault="009235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CB34" w14:textId="77777777" w:rsidR="00E41238" w:rsidRDefault="00E41238">
      <w:r>
        <w:separator/>
      </w:r>
    </w:p>
  </w:footnote>
  <w:footnote w:type="continuationSeparator" w:id="0">
    <w:p w14:paraId="78C8A0E9" w14:textId="77777777" w:rsidR="00E41238" w:rsidRDefault="00E41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5DF3" w14:textId="77777777" w:rsidR="009235EA" w:rsidRDefault="009235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83D3" w14:textId="77777777" w:rsidR="009235EA" w:rsidRDefault="009235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B3AE" w14:textId="77777777" w:rsidR="009235EA" w:rsidRDefault="009235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6AFD6F"/>
    <w:multiLevelType w:val="singleLevel"/>
    <w:tmpl w:val="9F6AFD6F"/>
    <w:lvl w:ilvl="0">
      <w:start w:val="5"/>
      <w:numFmt w:val="chineseCounting"/>
      <w:suff w:val="nothing"/>
      <w:lvlText w:val="%1、"/>
      <w:lvlJc w:val="left"/>
      <w:rPr>
        <w:rFonts w:hint="eastAsia"/>
      </w:rPr>
    </w:lvl>
  </w:abstractNum>
  <w:num w:numId="1" w16cid:durableId="180939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IxMzYxZjcyZmQxYzMzODA5MGMwM2ZjMjRhZmZjNjkifQ=="/>
  </w:docVars>
  <w:rsids>
    <w:rsidRoot w:val="30405DBE"/>
    <w:rsid w:val="0002305D"/>
    <w:rsid w:val="00132E84"/>
    <w:rsid w:val="004B7AD5"/>
    <w:rsid w:val="00766675"/>
    <w:rsid w:val="009235EA"/>
    <w:rsid w:val="00E41238"/>
    <w:rsid w:val="00F83764"/>
    <w:rsid w:val="022A4FEC"/>
    <w:rsid w:val="05ED0AAE"/>
    <w:rsid w:val="10233173"/>
    <w:rsid w:val="16490A3E"/>
    <w:rsid w:val="1F41397D"/>
    <w:rsid w:val="23F03419"/>
    <w:rsid w:val="29265B98"/>
    <w:rsid w:val="30405DBE"/>
    <w:rsid w:val="39E0062D"/>
    <w:rsid w:val="3D915370"/>
    <w:rsid w:val="3DC3683F"/>
    <w:rsid w:val="403A4C31"/>
    <w:rsid w:val="4F586138"/>
    <w:rsid w:val="587D6035"/>
    <w:rsid w:val="5BEA6CC0"/>
    <w:rsid w:val="5C9127DF"/>
    <w:rsid w:val="68E12E34"/>
    <w:rsid w:val="6C264CF2"/>
    <w:rsid w:val="6E753BB9"/>
    <w:rsid w:val="720C7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03EE8"/>
  <w15:docId w15:val="{9AE6BEA6-B3B3-4853-A29A-7A9809B24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kinsoku w:val="0"/>
      <w:autoSpaceDE w:val="0"/>
      <w:autoSpaceDN w:val="0"/>
      <w:adjustRightInd w:val="0"/>
      <w:snapToGrid w:val="0"/>
      <w:textAlignment w:val="baseline"/>
    </w:pPr>
    <w:rPr>
      <w:rFonts w:cs="宋体"/>
      <w:snapToGrid w:val="0"/>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B7AD5"/>
    <w:pPr>
      <w:tabs>
        <w:tab w:val="center" w:pos="4153"/>
        <w:tab w:val="right" w:pos="8306"/>
      </w:tabs>
      <w:jc w:val="center"/>
    </w:pPr>
    <w:rPr>
      <w:sz w:val="18"/>
      <w:szCs w:val="18"/>
    </w:rPr>
  </w:style>
  <w:style w:type="character" w:customStyle="1" w:styleId="a4">
    <w:name w:val="页眉 字符"/>
    <w:basedOn w:val="a0"/>
    <w:link w:val="a3"/>
    <w:rsid w:val="004B7AD5"/>
    <w:rPr>
      <w:rFonts w:cs="宋体"/>
      <w:snapToGrid w:val="0"/>
      <w:color w:val="000000"/>
      <w:sz w:val="18"/>
      <w:szCs w:val="18"/>
      <w:lang w:eastAsia="en-US"/>
    </w:rPr>
  </w:style>
  <w:style w:type="paragraph" w:styleId="a5">
    <w:name w:val="footer"/>
    <w:basedOn w:val="a"/>
    <w:link w:val="a6"/>
    <w:uiPriority w:val="99"/>
    <w:rsid w:val="004B7AD5"/>
    <w:pPr>
      <w:tabs>
        <w:tab w:val="center" w:pos="4153"/>
        <w:tab w:val="right" w:pos="8306"/>
      </w:tabs>
    </w:pPr>
    <w:rPr>
      <w:sz w:val="18"/>
      <w:szCs w:val="18"/>
    </w:rPr>
  </w:style>
  <w:style w:type="character" w:customStyle="1" w:styleId="a6">
    <w:name w:val="页脚 字符"/>
    <w:basedOn w:val="a0"/>
    <w:link w:val="a5"/>
    <w:uiPriority w:val="99"/>
    <w:rsid w:val="004B7AD5"/>
    <w:rPr>
      <w:rFonts w:cs="宋体"/>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1308</Words>
  <Characters>1348</Characters>
  <Application>Microsoft Office Word</Application>
  <DocSecurity>0</DocSecurity>
  <Lines>49</Lines>
  <Paragraphs>24</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dc:creator>
  <cp:lastModifiedBy>春艳 杨</cp:lastModifiedBy>
  <cp:revision>4</cp:revision>
  <dcterms:created xsi:type="dcterms:W3CDTF">2026-05-19T04:13:00Z</dcterms:created>
  <dcterms:modified xsi:type="dcterms:W3CDTF">2026-05-29T09:34:00Z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4F7EEAD397B44091BAF6AA351B35B334_11</vt:lpwstr>
  </property>
</Properties>
</file>