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83166">
      <w:pPr>
        <w:pStyle w:val="9"/>
        <w:spacing w:after="240"/>
        <w:rPr>
          <w:rFonts w:ascii="微软雅黑" w:hAnsi="微软雅黑" w:eastAsia="微软雅黑"/>
        </w:rPr>
      </w:pPr>
      <w:bookmarkStart w:id="0" w:name="_Toc231567076"/>
      <w:bookmarkStart w:id="1" w:name="OLE_LINK2"/>
      <w:bookmarkStart w:id="3" w:name="_GoBack"/>
      <w:r>
        <w:rPr>
          <w:rFonts w:hint="eastAsia" w:ascii="微软雅黑" w:hAnsi="微软雅黑" w:eastAsia="微软雅黑"/>
        </w:rPr>
        <w:t>上半年中国技术“卡脖子”几大事件之影响盘点——芯片篇</w:t>
      </w:r>
    </w:p>
    <w:bookmarkEnd w:id="3"/>
    <w:p w14:paraId="6507C7FB">
      <w:pPr>
        <w:rPr>
          <w:rFonts w:ascii="微软雅黑" w:hAnsi="微软雅黑" w:eastAsia="微软雅黑" w:cs="微软雅黑"/>
          <w:sz w:val="24"/>
          <w:szCs w:val="28"/>
        </w:rPr>
      </w:pPr>
      <w:r>
        <w:rPr>
          <w:rFonts w:hint="eastAsia" w:ascii="微软雅黑" w:hAnsi="微软雅黑" w:eastAsia="微软雅黑" w:cs="微软雅黑"/>
          <w:sz w:val="24"/>
          <w:szCs w:val="28"/>
        </w:rPr>
        <w:t>在过去几个月里，全球芯片产业接连迎来几记政策重锤，对供应链格局产生了深远影响。欧盟酝酿推出《芯片法案2.0》，该法案明确将目标锁定在先进人工智能芯片的本土制造上，试图通过新一轮补贴与产能布局，降低对外部供应链的依赖，重塑欧洲在全球AI算力版图中的地位。美国方面也在酝酿更为严苛的AI芯片出口新规，不仅拟进一步收紧高性能计算芯片的出口许可，甚至可能将芯片采购与对美投资条件相挂钩，使技术贸易与资本绑定愈发紧密。此外，美国参议院正式推出AI OVERWATCH Act，该法案直指英伟达等企业的先进AI芯片输华通道，意图从立法层面系统性封堵高端算力流向中国。这三项政策叠加共振，标志着全球芯片竞争已从单纯的技术角逐升级为以政策工具为核心的供应链攻防战，对中国半导体产业的突围路径构成了前所未有的复杂挑战。</w:t>
      </w:r>
    </w:p>
    <w:p w14:paraId="3F9BAA92">
      <w:pPr>
        <w:rPr>
          <w:rFonts w:ascii="微软雅黑" w:hAnsi="微软雅黑" w:eastAsia="微软雅黑" w:cs="微软雅黑"/>
          <w:sz w:val="24"/>
          <w:szCs w:val="28"/>
        </w:rPr>
      </w:pPr>
      <w:r>
        <w:rPr>
          <w:rFonts w:hint="eastAsia" w:ascii="微软雅黑" w:hAnsi="微软雅黑" w:eastAsia="微软雅黑" w:cs="微软雅黑"/>
          <w:sz w:val="24"/>
          <w:szCs w:val="28"/>
        </w:rPr>
        <w:t>对于企业而言，面对国际政策变局通常有两种应对方式：一种是等到法案正式出台后再做适应性调整，但彼时往往为时已晚；另一种则是在政策酝酿阶段便深入研判其内容走向与核心关切，据此提前做好前瞻性规划，这才是应对全球政策不确定性的正确姿态。基于这一思路，</w:t>
      </w:r>
      <w:r>
        <w:rPr>
          <w:rFonts w:hint="eastAsia" w:ascii="微软雅黑" w:hAnsi="微软雅黑" w:eastAsia="微软雅黑" w:cs="微软雅黑"/>
          <w:sz w:val="24"/>
          <w:szCs w:val="28"/>
          <w:lang w:eastAsia="zh-CN"/>
        </w:rPr>
        <w:t>金杜律所</w:t>
      </w:r>
      <w:r>
        <w:rPr>
          <w:rFonts w:hint="eastAsia" w:ascii="微软雅黑" w:hAnsi="微软雅黑" w:eastAsia="微软雅黑" w:cs="微软雅黑"/>
          <w:sz w:val="24"/>
          <w:szCs w:val="28"/>
        </w:rPr>
        <w:t>梳理了近期几条值得高度关注的关键动向</w:t>
      </w:r>
      <w:r>
        <w:rPr>
          <w:rFonts w:hint="eastAsia" w:ascii="微软雅黑" w:hAnsi="微软雅黑" w:eastAsia="微软雅黑" w:cs="微软雅黑"/>
          <w:sz w:val="24"/>
          <w:szCs w:val="28"/>
          <w:lang w:eastAsia="zh-CN"/>
        </w:rPr>
        <w:t>并提供提示建议</w:t>
      </w:r>
      <w:r>
        <w:rPr>
          <w:rFonts w:hint="eastAsia" w:ascii="微软雅黑" w:hAnsi="微软雅黑" w:eastAsia="微软雅黑" w:cs="微软雅黑"/>
          <w:sz w:val="24"/>
          <w:szCs w:val="28"/>
        </w:rPr>
        <w:t>。</w:t>
      </w:r>
    </w:p>
    <w:p w14:paraId="186F3C44">
      <w:pPr>
        <w:rPr>
          <w:rFonts w:ascii="微软雅黑" w:hAnsi="微软雅黑" w:eastAsia="微软雅黑" w:cs="微软雅黑"/>
          <w:sz w:val="24"/>
          <w:szCs w:val="28"/>
        </w:rPr>
      </w:pPr>
    </w:p>
    <w:p w14:paraId="25097A3C">
      <w:pPr>
        <w:pStyle w:val="2"/>
        <w:numPr>
          <w:ilvl w:val="0"/>
          <w:numId w:val="1"/>
        </w:numPr>
        <w:spacing w:before="0" w:after="0" w:line="320" w:lineRule="atLeast"/>
        <w:rPr>
          <w:rFonts w:ascii="微软雅黑" w:hAnsi="微软雅黑" w:eastAsia="微软雅黑" w:cs="微软雅黑"/>
          <w:sz w:val="24"/>
          <w:szCs w:val="24"/>
        </w:rPr>
      </w:pPr>
      <w:r>
        <w:rPr>
          <w:rFonts w:hint="eastAsia" w:ascii="微软雅黑" w:hAnsi="微软雅黑" w:eastAsia="微软雅黑" w:cs="微软雅黑"/>
          <w:sz w:val="24"/>
          <w:szCs w:val="24"/>
        </w:rPr>
        <w:t>欧盟酝酿《芯片法案2.0》 推动本土先进人工智能芯片制造</w:t>
      </w:r>
      <w:r>
        <w:rPr>
          <w:rStyle w:val="8"/>
          <w:rFonts w:ascii="微软雅黑" w:hAnsi="微软雅黑" w:eastAsia="微软雅黑" w:cs="微软雅黑"/>
          <w:sz w:val="24"/>
          <w:szCs w:val="24"/>
        </w:rPr>
        <w:footnoteReference w:id="0"/>
      </w:r>
      <w:bookmarkEnd w:id="0"/>
    </w:p>
    <w:p w14:paraId="35D3761C">
      <w:pPr>
        <w:rPr>
          <w:rFonts w:ascii="微软雅黑" w:hAnsi="微软雅黑" w:eastAsia="微软雅黑" w:cs="微软雅黑"/>
          <w:sz w:val="24"/>
          <w:szCs w:val="28"/>
        </w:rPr>
      </w:pPr>
      <w:r>
        <w:rPr>
          <w:rFonts w:hint="eastAsia" w:ascii="微软雅黑" w:hAnsi="微软雅黑" w:eastAsia="微软雅黑" w:cs="微软雅黑"/>
          <w:sz w:val="24"/>
          <w:szCs w:val="28"/>
        </w:rPr>
        <w:t>据知情人士于透露，欧盟委员会近期正与比利时微电子研究中心（Interuniversity Microelectronics Centre，Imec）及德国联邦突破性创新署（Federal Agency for Disruptive Innovation，SPRIND）磋商，研究在欧洲建设先进人工智能芯片制造工厂，以降低对美国及亚洲芯片供应链的依赖。该项目被视为欧盟强化人工智能产业自主能力、提升供应链韧性的重要举措，目前仍处于早期规划阶段，尚未就项目支持、选址及资金来源作出决定。</w:t>
      </w:r>
    </w:p>
    <w:p w14:paraId="6F3C0935">
      <w:pPr>
        <w:rPr>
          <w:rFonts w:ascii="微软雅黑" w:hAnsi="微软雅黑" w:eastAsia="微软雅黑" w:cs="微软雅黑"/>
          <w:sz w:val="24"/>
          <w:szCs w:val="28"/>
        </w:rPr>
      </w:pPr>
      <w:r>
        <w:rPr>
          <w:rFonts w:hint="eastAsia" w:ascii="微软雅黑" w:hAnsi="微软雅黑" w:eastAsia="微软雅黑" w:cs="微软雅黑"/>
          <w:sz w:val="24"/>
          <w:szCs w:val="28"/>
        </w:rPr>
        <w:t>POLITICO于当地时间5月2</w:t>
      </w:r>
      <w:r>
        <w:rPr>
          <w:rFonts w:ascii="微软雅黑" w:hAnsi="微软雅黑" w:eastAsia="微软雅黑" w:cs="微软雅黑"/>
          <w:sz w:val="24"/>
          <w:szCs w:val="28"/>
        </w:rPr>
        <w:t>8</w:t>
      </w:r>
      <w:r>
        <w:rPr>
          <w:rFonts w:hint="eastAsia" w:ascii="微软雅黑" w:hAnsi="微软雅黑" w:eastAsia="微软雅黑" w:cs="微软雅黑"/>
          <w:sz w:val="24"/>
          <w:szCs w:val="28"/>
        </w:rPr>
        <w:t>日报道称，拟议工厂预计将纳入欧盟即将推出的《芯片法案2.0》（Chips Act 2.0）框架。根据披露的立法草案，新法案将鼓励私人资本参与“战略项目”投资，重点支持先进芯片设计、自主制造能力建设及供应链韧性提升。虽然该工厂尚未正式写入法案文本，但欧盟内部文件已将“先进人工智能芯片制造设施”列为潜在战略项目之一。据悉，相关讨论包括最早于2035年前在德国建设一座“一纳米”先进制程芯片工厂。</w:t>
      </w:r>
    </w:p>
    <w:p w14:paraId="7307D1E7">
      <w:pPr>
        <w:rPr>
          <w:rFonts w:ascii="微软雅黑" w:hAnsi="微软雅黑" w:eastAsia="微软雅黑" w:cs="微软雅黑"/>
          <w:sz w:val="24"/>
          <w:szCs w:val="28"/>
        </w:rPr>
      </w:pPr>
      <w:r>
        <w:rPr>
          <w:rFonts w:hint="eastAsia" w:ascii="微软雅黑" w:hAnsi="微软雅黑" w:eastAsia="微软雅黑" w:cs="微软雅黑"/>
          <w:sz w:val="24"/>
          <w:szCs w:val="28"/>
        </w:rPr>
        <w:t>该计划建立在欧盟2023年《芯片法案》基础之上。此前，Imec获得7亿欧元欧盟资金支持，用于研发下一代2纳米芯片。然而，欧洲发展先进芯片制造仍面临市场需求、资金保障及长期盈利能力等挑战。英特尔原计划在德国建设大型晶圆厂项目已于2024年因财务问题搁置。与此同时，阿斯麦（ASML）首席执行官克里斯托夫·富凯等业界人士警告，若欧洲本土市场需求不足，相关工厂产能可能主要流向海外市场，导致公共补贴效益受限。除先进芯片项目外，欧盟还计划通过《芯片法案2.0》强化供应链危机应对机制，提升关键半导体产业安全保障能力。</w:t>
      </w:r>
    </w:p>
    <w:bookmarkEnd w:id="1"/>
    <w:p w14:paraId="1E1E99B8">
      <w:pPr>
        <w:rPr>
          <w:rFonts w:ascii="微软雅黑" w:hAnsi="微软雅黑" w:eastAsia="微软雅黑" w:cs="微软雅黑"/>
          <w:b/>
          <w:bCs/>
          <w:sz w:val="24"/>
          <w:szCs w:val="28"/>
        </w:rPr>
      </w:pPr>
      <w:r>
        <w:rPr>
          <w:rFonts w:hint="eastAsia" w:ascii="微软雅黑" w:hAnsi="微软雅黑" w:eastAsia="微软雅黑" w:cs="微软雅黑"/>
          <w:b/>
          <w:bCs/>
          <w:sz w:val="24"/>
          <w:szCs w:val="28"/>
        </w:rPr>
        <w:t>【提示</w:t>
      </w:r>
      <w:r>
        <w:rPr>
          <w:rFonts w:hint="eastAsia" w:ascii="微软雅黑" w:hAnsi="微软雅黑" w:eastAsia="微软雅黑" w:cs="微软雅黑"/>
          <w:b/>
          <w:bCs/>
          <w:sz w:val="24"/>
          <w:szCs w:val="28"/>
          <w:lang w:eastAsia="zh-CN"/>
        </w:rPr>
        <w:t>建议</w:t>
      </w:r>
      <w:r>
        <w:rPr>
          <w:rFonts w:hint="eastAsia" w:ascii="微软雅黑" w:hAnsi="微软雅黑" w:eastAsia="微软雅黑" w:cs="微软雅黑"/>
          <w:b/>
          <w:bCs/>
          <w:sz w:val="24"/>
          <w:szCs w:val="28"/>
        </w:rPr>
        <w:t>】</w:t>
      </w:r>
    </w:p>
    <w:p w14:paraId="17D15B66">
      <w:pPr>
        <w:rPr>
          <w:rFonts w:ascii="微软雅黑" w:hAnsi="微软雅黑" w:eastAsia="微软雅黑" w:cs="微软雅黑"/>
          <w:sz w:val="24"/>
          <w:szCs w:val="28"/>
        </w:rPr>
      </w:pPr>
      <w:r>
        <w:rPr>
          <w:rFonts w:hint="eastAsia" w:ascii="微软雅黑" w:hAnsi="微软雅黑" w:eastAsia="微软雅黑" w:cs="微软雅黑"/>
          <w:sz w:val="24"/>
          <w:szCs w:val="28"/>
        </w:rPr>
        <w:t>欧盟酝酿推出《芯片法案2.0》，反映出其半导体政策正从此前侧重扩大产能和应对供应短缺，进一步转向先进制程、人工智能芯片及供应链安全等战略领域。虽然相关计划仍处于讨论阶段，但欧盟已明确将提升本土先进芯片设计与制造能力、降低对美国及亚洲供应链依赖作为长期政策目标。未来，围绕先进半导体产业的资金支持、产业准入、技术合作以及供应链安全审查措施可能进一步加强，欧洲市场的本土化和战略自主导向预计将持续增强。</w:t>
      </w:r>
    </w:p>
    <w:p w14:paraId="4D215FB5">
      <w:pPr>
        <w:pStyle w:val="10"/>
        <w:spacing w:after="0" w:afterLines="0"/>
      </w:pPr>
    </w:p>
    <w:p w14:paraId="6613724A">
      <w:pPr>
        <w:pStyle w:val="2"/>
        <w:numPr>
          <w:ilvl w:val="0"/>
          <w:numId w:val="1"/>
        </w:numPr>
        <w:spacing w:before="0" w:after="0" w:line="320" w:lineRule="atLeast"/>
        <w:rPr>
          <w:rFonts w:ascii="微软雅黑" w:hAnsi="微软雅黑" w:eastAsia="微软雅黑" w:cs="Times New Roman"/>
          <w:bCs w:val="0"/>
          <w:sz w:val="24"/>
          <w:szCs w:val="24"/>
        </w:rPr>
      </w:pPr>
      <w:bookmarkStart w:id="2" w:name="_Toc224157805"/>
      <w:r>
        <w:rPr>
          <w:rFonts w:hint="eastAsia" w:ascii="微软雅黑" w:hAnsi="微软雅黑" w:eastAsia="微软雅黑" w:cs="Times New Roman"/>
          <w:sz w:val="24"/>
          <w:szCs w:val="24"/>
        </w:rPr>
        <w:t>美酝酿AI芯片出口新规 或附带对美投资条件</w:t>
      </w:r>
      <w:r>
        <w:rPr>
          <w:rStyle w:val="8"/>
          <w:rFonts w:hint="eastAsia" w:ascii="微软雅黑" w:hAnsi="微软雅黑" w:eastAsia="微软雅黑" w:cs="Times New Roman"/>
          <w:sz w:val="24"/>
          <w:szCs w:val="24"/>
        </w:rPr>
        <w:footnoteReference w:id="1"/>
      </w:r>
      <w:bookmarkEnd w:id="2"/>
    </w:p>
    <w:p w14:paraId="53B5485A">
      <w:pPr>
        <w:spacing w:line="320" w:lineRule="atLeast"/>
        <w:rPr>
          <w:rFonts w:ascii="微软雅黑" w:hAnsi="微软雅黑" w:eastAsia="微软雅黑" w:cs="Times New Roman"/>
          <w:sz w:val="24"/>
          <w:szCs w:val="24"/>
        </w:rPr>
      </w:pPr>
      <w:r>
        <w:rPr>
          <w:rFonts w:hint="eastAsia" w:ascii="微软雅黑" w:hAnsi="微软雅黑" w:eastAsia="微软雅黑" w:cs="Times New Roman"/>
          <w:sz w:val="24"/>
          <w:szCs w:val="24"/>
        </w:rPr>
        <w:t>美国政府近期正讨论一项新的人工智能芯片出口监管框架，考虑将外国企业或政府在美国投资人工智能数据中心、提供安全承诺等条件，与获得大规模AI芯片出口许可挂钩。根据路透看到的一份政策草案，如果外国机构希望获得20万枚以上AI芯片，可能需要承诺在美国进行相关投资或提供政府间安全保证。</w:t>
      </w:r>
    </w:p>
    <w:p w14:paraId="2E2BA8BB">
      <w:pPr>
        <w:spacing w:line="320" w:lineRule="atLeast"/>
        <w:rPr>
          <w:rFonts w:ascii="微软雅黑" w:hAnsi="微软雅黑" w:eastAsia="微软雅黑" w:cs="Times New Roman"/>
          <w:sz w:val="24"/>
          <w:szCs w:val="24"/>
        </w:rPr>
      </w:pPr>
      <w:r>
        <w:rPr>
          <w:rFonts w:hint="eastAsia" w:ascii="微软雅黑" w:hAnsi="微软雅黑" w:eastAsia="微软雅黑" w:cs="Times New Roman"/>
          <w:sz w:val="24"/>
          <w:szCs w:val="24"/>
        </w:rPr>
        <w:t>据路透社于3月5日的报道，该提案是特朗普政府在撤销拜登时期“AI扩散规则”后，首次尝试重新构建面向盟友和伙伴国家的AI芯片出口监管体系。与此前对盟友较为宽松的政策不同，新框架将对不同规模的芯片部署设置分级监管：即使不足1000枚芯片的小规模安装也可能需要许可，而获得最多10万枚芯片的交易则需政府间安全保证。这一机制既旨在防止高端芯片经第三方转流至中国，也可能成为美国推动盟友扩大对美科技投资、强化本土AI基础设施建设的谈判工具。</w:t>
      </w:r>
    </w:p>
    <w:p w14:paraId="16CC1E16">
      <w:pPr>
        <w:tabs>
          <w:tab w:val="center" w:pos="4153"/>
          <w:tab w:val="right" w:pos="8306"/>
        </w:tabs>
        <w:snapToGrid w:val="0"/>
        <w:rPr>
          <w:rFonts w:ascii="微软雅黑" w:hAnsi="微软雅黑" w:eastAsia="微软雅黑"/>
          <w:b/>
          <w:sz w:val="24"/>
          <w:szCs w:val="24"/>
        </w:rPr>
      </w:pPr>
      <w:r>
        <w:rPr>
          <w:rFonts w:hint="eastAsia" w:ascii="微软雅黑" w:hAnsi="微软雅黑" w:eastAsia="微软雅黑"/>
          <w:b/>
          <w:sz w:val="24"/>
          <w:szCs w:val="24"/>
        </w:rPr>
        <w:t>【提示</w:t>
      </w:r>
      <w:r>
        <w:rPr>
          <w:rFonts w:hint="eastAsia" w:ascii="微软雅黑" w:hAnsi="微软雅黑" w:eastAsia="微软雅黑"/>
          <w:b/>
          <w:sz w:val="24"/>
          <w:szCs w:val="24"/>
          <w:lang w:eastAsia="zh-CN"/>
        </w:rPr>
        <w:t>建议</w:t>
      </w:r>
      <w:r>
        <w:rPr>
          <w:rFonts w:hint="eastAsia" w:ascii="微软雅黑" w:hAnsi="微软雅黑" w:eastAsia="微软雅黑"/>
          <w:b/>
          <w:sz w:val="24"/>
          <w:szCs w:val="24"/>
        </w:rPr>
        <w:t>】</w:t>
      </w:r>
    </w:p>
    <w:p w14:paraId="70F3E885">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Times New Roman"/>
          <w:sz w:val="24"/>
          <w:szCs w:val="24"/>
        </w:rPr>
        <w:t>美国此番将AI芯片出口许可与对美投资及安全承诺挂钩，是以半导体为杠杆重构全球数字基础设施的阵营化版图。新规通过分级许可机制（20万枚以上需投资承诺、10万枚需政府间安全保证），迫使拉美国家在获取先进算力与维护对华合作之间做出选择。此举标志着其科技监管逻辑从单纯的“技术封锁”转化为“资源置换”。该政策的核心影响在于将AI算力的分配权变成了美国推动科技回流和安全捆绑的筹码。对于计划构建大规模智算中心的全球企业或政府而言，其算力获取的确定性已不再取决于商业合同，而是取决于其是否愿意承担在美国进行“对等投资”的额外成本，以及是否能达成复杂的政府间安全协议。这种分级监管极大地增加了全球供应链的摩擦成本，使得非美地区的AI基础设施建设面临被美国政策“长臂管辖”的脆弱性，甚至可能因无法满足投资条件而导致项目停滞或被迫缩减规模。</w:t>
      </w:r>
    </w:p>
    <w:p w14:paraId="4499C278">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14:textFill>
            <w14:solidFill>
              <w14:schemeClr w14:val="tx1"/>
            </w14:solidFill>
          </w14:textFill>
        </w:rPr>
      </w:pPr>
    </w:p>
    <w:p w14:paraId="025B5ED0">
      <w:pPr>
        <w:pStyle w:val="2"/>
        <w:numPr>
          <w:ilvl w:val="0"/>
          <w:numId w:val="1"/>
        </w:numPr>
        <w:spacing w:before="0" w:after="0" w:line="320" w:lineRule="atLeast"/>
        <w:rPr>
          <w:rFonts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美参议院 AI OVERWATCH Act 登场 拟封堵英伟达先进AI芯片输华</w:t>
      </w:r>
      <w:r>
        <w:rPr>
          <w:rStyle w:val="8"/>
          <w:rFonts w:ascii="微软雅黑" w:hAnsi="微软雅黑" w:eastAsia="微软雅黑" w:cs="微软雅黑"/>
          <w:color w:val="000000" w:themeColor="text1"/>
          <w:sz w:val="24"/>
          <w:szCs w:val="24"/>
          <w:shd w:val="clear" w:color="auto" w:fill="FFFFFF"/>
          <w14:textFill>
            <w14:solidFill>
              <w14:schemeClr w14:val="tx1"/>
            </w14:solidFill>
          </w14:textFill>
        </w:rPr>
        <w:footnoteReference w:id="2"/>
      </w:r>
    </w:p>
    <w:p w14:paraId="5D671BCE">
      <w:pPr>
        <w:widowControl/>
        <w:adjustRightInd w:val="0"/>
        <w:snapToGrid w:val="0"/>
        <w:spacing w:line="320" w:lineRule="atLeast"/>
        <w:rPr>
          <w:rFonts w:ascii="微软雅黑" w:hAnsi="微软雅黑" w:eastAsia="微软雅黑" w:cs="Times New Roman"/>
          <w:sz w:val="24"/>
          <w:szCs w:val="24"/>
        </w:rPr>
      </w:pPr>
      <w:r>
        <w:rPr>
          <w:rFonts w:hint="eastAsia" w:ascii="微软雅黑" w:hAnsi="微软雅黑" w:eastAsia="微软雅黑" w:cs="Times New Roman"/>
          <w:sz w:val="24"/>
          <w:szCs w:val="24"/>
        </w:rPr>
        <w:t>近期，美国参议员吉姆·班克斯（Jim Banks）和伊丽莎白·沃伦（Elizabeth Warren）发布参议院版AIOVERWATCH Act，要求美国商务部对先进 AI 芯片出口、再出口和境内转移建立更强硬的许可审查。文本瞄准中国、俄罗斯、伊朗、朝鲜、古巴等所谓的“关注国家”。该法案拟修改《出口管制改革法》（ECRA），新增一条专门处理高端 AI 芯片的制度。</w:t>
      </w:r>
    </w:p>
    <w:p w14:paraId="0B5B18B5">
      <w:pPr>
        <w:widowControl/>
        <w:adjustRightInd w:val="0"/>
        <w:snapToGrid w:val="0"/>
        <w:spacing w:line="320" w:lineRule="atLeast"/>
        <w:rPr>
          <w:rFonts w:ascii="微软雅黑" w:hAnsi="微软雅黑" w:eastAsia="微软雅黑" w:cs="Times New Roman"/>
          <w:sz w:val="24"/>
          <w:szCs w:val="24"/>
        </w:rPr>
      </w:pPr>
      <w:r>
        <w:rPr>
          <w:rFonts w:hint="eastAsia" w:ascii="微软雅黑" w:hAnsi="微软雅黑" w:eastAsia="微软雅黑" w:cs="Times New Roman"/>
          <w:sz w:val="24"/>
          <w:szCs w:val="24"/>
        </w:rPr>
        <w:t>根据当地时间5月4日的报道，该法案把受管对象分成两档：一档是“涵盖芯片”（covered integrated</w:t>
      </w:r>
      <w:r>
        <w:rPr>
          <w:rFonts w:ascii="微软雅黑" w:hAnsi="微软雅黑" w:eastAsia="微软雅黑" w:cs="Times New Roman"/>
          <w:sz w:val="24"/>
          <w:szCs w:val="24"/>
        </w:rPr>
        <w:t xml:space="preserve"> </w:t>
      </w:r>
      <w:r>
        <w:rPr>
          <w:rFonts w:hint="eastAsia" w:ascii="微软雅黑" w:hAnsi="微软雅黑" w:eastAsia="微软雅黑" w:cs="Times New Roman"/>
          <w:sz w:val="24"/>
          <w:szCs w:val="24"/>
        </w:rPr>
        <w:t>circuit），包括 ECCN 3A090、4A090及相关类别下的数据中心级AI芯片、计算机和类似产品；另一档是“限制芯片”（restricted integrated</w:t>
      </w:r>
      <w:r>
        <w:rPr>
          <w:rFonts w:ascii="微软雅黑" w:hAnsi="微软雅黑" w:eastAsia="微软雅黑" w:cs="Times New Roman"/>
          <w:sz w:val="24"/>
          <w:szCs w:val="24"/>
        </w:rPr>
        <w:t xml:space="preserve"> </w:t>
      </w:r>
      <w:r>
        <w:rPr>
          <w:rFonts w:hint="eastAsia" w:ascii="微软雅黑" w:hAnsi="微软雅黑" w:eastAsia="微软雅黑" w:cs="Times New Roman"/>
          <w:sz w:val="24"/>
          <w:szCs w:val="24"/>
        </w:rPr>
        <w:t>circuit），门槛更高，覆盖总处理性能达到 21000 以上的芯片，以及 2026 年1 月 1 日以后首次上市、达到特定性能阈值的新一代产品，据检索这参数精确卡死 Blackwell 全系（B100、B200、B300）以及潜在的B30A。</w:t>
      </w:r>
    </w:p>
    <w:p w14:paraId="0F6F480B">
      <w:pPr>
        <w:widowControl/>
        <w:adjustRightInd w:val="0"/>
        <w:snapToGrid w:val="0"/>
        <w:spacing w:line="320" w:lineRule="atLeast"/>
        <w:rPr>
          <w:rFonts w:ascii="微软雅黑" w:hAnsi="微软雅黑" w:eastAsia="微软雅黑" w:cs="Times New Roman"/>
          <w:sz w:val="24"/>
          <w:szCs w:val="24"/>
        </w:rPr>
      </w:pPr>
      <w:r>
        <w:rPr>
          <w:rFonts w:hint="eastAsia" w:ascii="微软雅黑" w:hAnsi="微软雅黑" w:eastAsia="微软雅黑" w:cs="Times New Roman"/>
          <w:sz w:val="24"/>
          <w:szCs w:val="24"/>
        </w:rPr>
        <w:t>参议院版还规定，法案生效前已经发给关注国家相关实体的“涵盖芯片”许可证要终止。在美国商务部提交“美国人工智能胜利战略”后的14天之前，相关许可证申请也要被临时拒绝。该战略文件要评估中国赢得AI竞赛的国家安全和经济影响、中国获得美国或盟友芯片及设备后的后果、中国2026和2027财年的相关芯片产能，以及如果</w:t>
      </w:r>
    </w:p>
    <w:p w14:paraId="0781A907">
      <w:pPr>
        <w:widowControl/>
        <w:adjustRightInd w:val="0"/>
        <w:snapToGrid w:val="0"/>
        <w:spacing w:line="320" w:lineRule="atLeast"/>
        <w:rPr>
          <w:rFonts w:ascii="微软雅黑" w:hAnsi="微软雅黑" w:eastAsia="微软雅黑" w:cs="Times New Roman"/>
          <w:sz w:val="24"/>
          <w:szCs w:val="24"/>
        </w:rPr>
      </w:pPr>
      <w:r>
        <w:rPr>
          <w:rFonts w:hint="eastAsia" w:ascii="微软雅黑" w:hAnsi="微软雅黑" w:eastAsia="微软雅黑" w:cs="Times New Roman"/>
          <w:sz w:val="24"/>
          <w:szCs w:val="24"/>
        </w:rPr>
        <w:t>关注国家只依赖本土芯片和本土设备，其AI能力会达到什么水平。</w:t>
      </w:r>
    </w:p>
    <w:p w14:paraId="711C2812">
      <w:pPr>
        <w:widowControl/>
        <w:adjustRightInd w:val="0"/>
        <w:snapToGrid w:val="0"/>
        <w:spacing w:line="320" w:lineRule="atLeast"/>
        <w:rPr>
          <w:rFonts w:ascii="微软雅黑" w:hAnsi="微软雅黑" w:eastAsia="微软雅黑" w:cs="Times New Roman"/>
          <w:sz w:val="24"/>
          <w:szCs w:val="24"/>
        </w:rPr>
      </w:pPr>
      <w:r>
        <w:rPr>
          <w:rFonts w:hint="eastAsia" w:ascii="微软雅黑" w:hAnsi="微软雅黑" w:eastAsia="微软雅黑" w:cs="Times New Roman"/>
          <w:sz w:val="24"/>
          <w:szCs w:val="24"/>
        </w:rPr>
        <w:t>参议院版与众议院委员会版的差别集中在国会否决权。参议院版删掉了“联合决议”阻止许可的条款。国会仍会拿到许可证材料，仍有30天或60天等待期，美国商务部仍要提交认证和底层分析，但许可证的最终处置权更多留给行政部门。这一改动降低了法案与特朗普政府行政权限之间的冲突，也增加了它进入《2027 年国防授权法案》（NDAA 2027）这类大法案的可能性。</w:t>
      </w:r>
    </w:p>
    <w:p w14:paraId="22519950">
      <w:pPr>
        <w:tabs>
          <w:tab w:val="center" w:pos="4153"/>
          <w:tab w:val="right" w:pos="8306"/>
        </w:tabs>
        <w:snapToGrid w:val="0"/>
        <w:rPr>
          <w:rFonts w:ascii="微软雅黑" w:hAnsi="微软雅黑" w:eastAsia="微软雅黑"/>
          <w:b/>
          <w:sz w:val="24"/>
          <w:szCs w:val="24"/>
        </w:rPr>
      </w:pPr>
      <w:r>
        <w:rPr>
          <w:rFonts w:hint="eastAsia" w:ascii="微软雅黑" w:hAnsi="微软雅黑" w:eastAsia="微软雅黑"/>
          <w:b/>
          <w:sz w:val="24"/>
          <w:szCs w:val="24"/>
        </w:rPr>
        <w:t>【提示</w:t>
      </w:r>
      <w:r>
        <w:rPr>
          <w:rFonts w:hint="eastAsia" w:ascii="微软雅黑" w:hAnsi="微软雅黑" w:eastAsia="微软雅黑"/>
          <w:b/>
          <w:sz w:val="24"/>
          <w:szCs w:val="24"/>
          <w:lang w:eastAsia="zh-CN"/>
        </w:rPr>
        <w:t>建议</w:t>
      </w:r>
      <w:r>
        <w:rPr>
          <w:rFonts w:hint="eastAsia" w:ascii="微软雅黑" w:hAnsi="微软雅黑" w:eastAsia="微软雅黑"/>
          <w:b/>
          <w:sz w:val="24"/>
          <w:szCs w:val="24"/>
        </w:rPr>
        <w:t>】</w:t>
      </w:r>
    </w:p>
    <w:p w14:paraId="7BF382DA">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14:textFill>
            <w14:solidFill>
              <w14:schemeClr w14:val="tx1"/>
            </w14:solidFill>
          </w14:textFill>
        </w:rPr>
      </w:pP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该法案的出台标志着美国对华AI芯片封锁正从行政令层面向立法层面固化。从直接影响看，法案将管制对象明确划分为</w:t>
      </w:r>
      <w:r>
        <w:rPr>
          <w:rFonts w:hint="eastAsia" w:ascii="微软雅黑" w:hAnsi="微软雅黑" w:eastAsia="微软雅黑" w:cs="Times New Roman"/>
          <w:sz w:val="24"/>
          <w:szCs w:val="24"/>
        </w:rPr>
        <w:t>“涵盖芯片”</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与</w:t>
      </w:r>
      <w:r>
        <w:rPr>
          <w:rFonts w:hint="eastAsia" w:ascii="微软雅黑" w:hAnsi="微软雅黑" w:eastAsia="微软雅黑" w:cs="Times New Roman"/>
          <w:sz w:val="24"/>
          <w:szCs w:val="24"/>
        </w:rPr>
        <w:t>“限制芯片”</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两档，其中</w:t>
      </w:r>
      <w:r>
        <w:rPr>
          <w:rFonts w:hint="eastAsia" w:ascii="微软雅黑" w:hAnsi="微软雅黑" w:eastAsia="微软雅黑" w:cs="Times New Roman"/>
          <w:sz w:val="24"/>
          <w:szCs w:val="24"/>
        </w:rPr>
        <w:t>“限制芯片”</w:t>
      </w:r>
      <w:r>
        <w:rPr>
          <w:rFonts w:hint="eastAsia" w:ascii="微软雅黑" w:hAnsi="微软雅黑" w:eastAsia="微软雅黑" w:cs="微软雅黑"/>
          <w:color w:val="000000" w:themeColor="text1"/>
          <w:sz w:val="24"/>
          <w:szCs w:val="24"/>
          <w:shd w:val="clear" w:color="auto" w:fill="FFFFFF"/>
          <w14:textFill>
            <w14:solidFill>
              <w14:schemeClr w14:val="tx1"/>
            </w14:solidFill>
          </w14:textFill>
        </w:rPr>
        <w:t>的性能门槛精确卡死英伟达Blackwell全系产品，这意味着未来中国获取高端AI算力的合法通道将进一步收窄，已发放的许可证面临终止风险，企业囤货窗口正在关闭。更具战略意味的是，法案要求商务部提交“美国人工智能胜利战略”，系统评估中国在芯片自给条件下的AI能力天花板，这表明美方已将技术封锁与战略预判深度绑定，管制逻辑从延缓对手升级为精准压制。对中国出海企业而言，这一趋势释放出明确信号：依赖政策观望和被动适应的传统模式已不可行，企业必须在法案酝酿期便深入研判其走向与核心关切，将合规前置为战略能力。</w:t>
      </w:r>
    </w:p>
    <w:p w14:paraId="70120AC6">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14:textFill>
            <w14:solidFill>
              <w14:schemeClr w14:val="tx1"/>
            </w14:solidFill>
          </w14:textFill>
        </w:rPr>
      </w:pPr>
    </w:p>
    <w:p w14:paraId="4699C3E6">
      <w:pPr>
        <w:widowControl/>
        <w:adjustRightInd w:val="0"/>
        <w:snapToGrid w:val="0"/>
        <w:spacing w:line="320" w:lineRule="atLeast"/>
        <w:rPr>
          <w:rFonts w:ascii="微软雅黑" w:hAnsi="微软雅黑" w:eastAsia="微软雅黑" w:cs="微软雅黑"/>
          <w:color w:val="000000" w:themeColor="text1"/>
          <w:sz w:val="24"/>
          <w:szCs w:val="24"/>
          <w:shd w:val="clear" w:color="auto" w:fill="FFFFFF"/>
          <w14:textFill>
            <w14:solidFill>
              <w14:schemeClr w14:val="tx1"/>
            </w14:solidFill>
          </w14:textFill>
        </w:rPr>
      </w:pPr>
    </w:p>
    <w:p w14:paraId="6DEE0DDC">
      <w:pPr>
        <w:widowControl/>
        <w:adjustRightInd w:val="0"/>
        <w:snapToGrid w:val="0"/>
        <w:spacing w:line="320" w:lineRule="atLeast"/>
        <w:rPr>
          <w:rFonts w:ascii="微软雅黑" w:hAnsi="微软雅黑" w:eastAsia="微软雅黑" w:cs="微软雅黑"/>
          <w:i/>
          <w:color w:val="000000" w:themeColor="text1"/>
          <w:sz w:val="22"/>
          <w:szCs w:val="24"/>
          <w:shd w:val="clear" w:color="auto" w:fill="FFFFFF"/>
          <w14:textFill>
            <w14:solidFill>
              <w14:schemeClr w14:val="tx1"/>
            </w14:solidFill>
          </w14:textFill>
        </w:rPr>
      </w:pPr>
      <w:r>
        <w:rPr>
          <w:rStyle w:val="11"/>
          <w:rFonts w:hint="default" w:ascii="微软雅黑" w:hAnsi="微软雅黑" w:eastAsia="微软雅黑"/>
          <w:i/>
          <w:sz w:val="22"/>
        </w:rPr>
        <w:t>声明：本文件中包含的信息、评述和分析均基于公开发布的资料或第三方信息形成，我们提供本文件仅供参考，旨在帮助您更好地了解可能影响您业务的法律环境，其不构成具体的法律建议，也不代表本所观点。若您需要针对特定情况的法律咨询或建议，我们建议您咨询我们或聘请其他专业的法律顾问。</w:t>
      </w:r>
    </w:p>
    <w:p w14:paraId="12B76026"/>
    <w:sectPr>
      <w:headerReference r:id="rId6" w:type="first"/>
      <w:footerReference r:id="rId9" w:type="first"/>
      <w:headerReference r:id="rId4" w:type="default"/>
      <w:footerReference r:id="rId7" w:type="default"/>
      <w:headerReference r:id="rId5" w:type="even"/>
      <w:footerReference r:id="rId8" w:type="even"/>
      <w:pgSz w:w="11906" w:h="16838"/>
      <w:pgMar w:top="1418" w:right="1418" w:bottom="1418" w:left="1418" w:header="284" w:footer="567"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Regular">
    <w:altName w:val="Arial"/>
    <w:panose1 w:val="00000000000000000000"/>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5"/>
      <w:tblpPr w:leftFromText="181" w:rightFromText="181" w:vertAnchor="text" w:tblpY="1"/>
      <w:tblOverlap w:val="never"/>
      <w:tblW w:w="5000" w:type="pct"/>
      <w:tblInd w:w="0" w:type="dxa"/>
      <w:tblLayout w:type="autofit"/>
      <w:tblCellMar>
        <w:top w:w="0" w:type="dxa"/>
        <w:left w:w="0" w:type="dxa"/>
        <w:bottom w:w="0" w:type="dxa"/>
        <w:right w:w="0" w:type="dxa"/>
      </w:tblCellMar>
    </w:tblPr>
    <w:tblGrid>
      <w:gridCol w:w="7463"/>
      <w:gridCol w:w="1607"/>
    </w:tblGrid>
    <w:tr w14:paraId="4DB3CD9A">
      <w:tblPrEx>
        <w:tblCellMar>
          <w:top w:w="0" w:type="dxa"/>
          <w:left w:w="0" w:type="dxa"/>
          <w:bottom w:w="0" w:type="dxa"/>
          <w:right w:w="0" w:type="dxa"/>
        </w:tblCellMar>
      </w:tblPrEx>
      <w:tc>
        <w:tcPr>
          <w:tcW w:w="4114" w:type="pct"/>
        </w:tcPr>
        <w:p w14:paraId="41F6D261">
          <w:pPr>
            <w:rPr>
              <w:rFonts w:ascii="Arial" w:hAnsi="Arial" w:eastAsia="楷体_GB2312" w:cs="Arial"/>
              <w:sz w:val="18"/>
              <w:szCs w:val="18"/>
            </w:rPr>
          </w:pPr>
        </w:p>
      </w:tc>
      <w:tc>
        <w:tcPr>
          <w:tcW w:w="886" w:type="pct"/>
        </w:tcPr>
        <w:p w14:paraId="0705E56F">
          <w:pPr>
            <w:jc w:val="right"/>
            <w:rPr>
              <w:rFonts w:ascii="Arial" w:hAnsi="Arial" w:eastAsia="楷体_GB2312" w:cs="Arial"/>
              <w:sz w:val="18"/>
              <w:szCs w:val="18"/>
            </w:rPr>
          </w:pPr>
          <w:r>
            <w:rPr>
              <w:rFonts w:ascii="Arial" w:hAnsi="Arial" w:eastAsia="楷体_GB2312" w:cs="Arial"/>
              <w:sz w:val="18"/>
              <w:szCs w:val="18"/>
            </w:rPr>
            <w:fldChar w:fldCharType="begin"/>
          </w:r>
          <w:r>
            <w:rPr>
              <w:rFonts w:ascii="Arial" w:hAnsi="Arial" w:eastAsia="楷体_GB2312" w:cs="Arial"/>
              <w:sz w:val="18"/>
              <w:szCs w:val="18"/>
            </w:rPr>
            <w:instrText xml:space="preserve"> PAGE </w:instrText>
          </w:r>
          <w:r>
            <w:rPr>
              <w:rFonts w:ascii="Arial" w:hAnsi="Arial" w:eastAsia="楷体_GB2312" w:cs="Arial"/>
              <w:sz w:val="18"/>
              <w:szCs w:val="18"/>
            </w:rPr>
            <w:fldChar w:fldCharType="separate"/>
          </w:r>
          <w:r>
            <w:rPr>
              <w:rFonts w:ascii="Arial" w:hAnsi="Arial" w:eastAsia="楷体_GB2312" w:cs="Arial"/>
              <w:sz w:val="18"/>
              <w:szCs w:val="18"/>
            </w:rPr>
            <w:t>2</w:t>
          </w:r>
          <w:r>
            <w:rPr>
              <w:rFonts w:ascii="Arial" w:hAnsi="Arial" w:eastAsia="楷体_GB2312" w:cs="Arial"/>
              <w:sz w:val="18"/>
              <w:szCs w:val="18"/>
            </w:rPr>
            <w:fldChar w:fldCharType="end"/>
          </w:r>
        </w:p>
      </w:tc>
    </w:tr>
  </w:tbl>
  <w:p w14:paraId="45480E4D">
    <w:pP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13E65">
    <w:pP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5421D">
    <w:pP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3E2AC70">
      <w:pPr>
        <w:pStyle w:val="4"/>
      </w:pPr>
      <w:r>
        <w:rPr>
          <w:rStyle w:val="8"/>
        </w:rPr>
        <w:footnoteRef/>
      </w:r>
      <w:r>
        <w:fldChar w:fldCharType="begin"/>
      </w:r>
      <w:r>
        <w:instrText xml:space="preserve"> HYPERLINK "https://www.politico.eu/article/brussels-eyes-slice-of-ai-chip-boom/" </w:instrText>
      </w:r>
      <w:r>
        <w:fldChar w:fldCharType="separate"/>
      </w:r>
      <w:r>
        <w:rPr>
          <w:rStyle w:val="7"/>
          <w:rFonts w:ascii="微软雅黑" w:hAnsi="微软雅黑" w:cs="Arial Regular"/>
        </w:rPr>
        <w:t>https://www.politico.eu/article/brussels-eyes-slice-of-ai-chip-boom/</w:t>
      </w:r>
      <w:r>
        <w:rPr>
          <w:rStyle w:val="7"/>
          <w:rFonts w:ascii="微软雅黑" w:hAnsi="微软雅黑" w:cs="Arial Regular"/>
        </w:rPr>
        <w:fldChar w:fldCharType="end"/>
      </w:r>
      <w:r>
        <w:rPr>
          <w:rStyle w:val="7"/>
          <w:rFonts w:hint="eastAsia" w:ascii="微软雅黑" w:hAnsi="微软雅黑" w:cs="Arial Regular"/>
        </w:rPr>
        <w:t xml:space="preserve"> </w:t>
      </w:r>
    </w:p>
  </w:footnote>
  <w:footnote w:id="1">
    <w:p w14:paraId="0DF93311">
      <w:pPr>
        <w:pStyle w:val="4"/>
        <w:wordWrap w:val="0"/>
      </w:pPr>
      <w:r>
        <w:rPr>
          <w:rStyle w:val="8"/>
        </w:rPr>
        <w:footnoteRef/>
      </w:r>
      <w:r>
        <w:t xml:space="preserve"> </w:t>
      </w:r>
      <w:r>
        <w:rPr>
          <w:rFonts w:eastAsia="Arial" w:cs="Arial"/>
          <w:color w:val="0000FF"/>
          <w:u w:val="single"/>
        </w:rPr>
        <w:t>https://www.reuters.com/world/us-mulls-new-rules-ai-chip-exports-including-requiring-investments-by-foreign-2026-03-05/</w:t>
      </w:r>
    </w:p>
  </w:footnote>
  <w:footnote w:id="2">
    <w:p w14:paraId="17F68C98">
      <w:pPr>
        <w:pStyle w:val="4"/>
      </w:pPr>
      <w:r>
        <w:rPr>
          <w:rStyle w:val="8"/>
        </w:rPr>
        <w:footnoteRef/>
      </w:r>
      <w:r>
        <w:t xml:space="preserve"> </w:t>
      </w:r>
      <w:r>
        <w:fldChar w:fldCharType="begin"/>
      </w:r>
      <w:r>
        <w:instrText xml:space="preserve"> HYPERLINK "https://www.banks.senate.gov/news/press-releases/banks-introduces-ai-overwatch-act/" </w:instrText>
      </w:r>
      <w:r>
        <w:fldChar w:fldCharType="separate"/>
      </w:r>
      <w:r>
        <w:rPr>
          <w:rStyle w:val="7"/>
        </w:rPr>
        <w:t>https://www.banks.senate.gov/news/press-releases/banks-introduces-ai-overwatch-act/</w:t>
      </w:r>
      <w:r>
        <w:rPr>
          <w:rStyle w:val="7"/>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B6587">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D0398">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B0374">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E52171"/>
    <w:multiLevelType w:val="singleLevel"/>
    <w:tmpl w:val="5FE52171"/>
    <w:lvl w:ilvl="0" w:tentative="0">
      <w:start w:val="1"/>
      <w:numFmt w:val="decimal"/>
      <w:lvlText w:val="%1."/>
      <w:lvlJc w:val="left"/>
      <w:pPr>
        <w:tabs>
          <w:tab w:val="left" w:pos="425"/>
        </w:tabs>
        <w:ind w:left="425" w:hanging="425"/>
      </w:pPr>
      <w:rPr>
        <w:rFonts w:hint="default" w:ascii="微软雅黑" w:hAnsi="微软雅黑" w:eastAsia="微软雅黑" w:cs="微软雅黑"/>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D2D65"/>
    <w:rsid w:val="456D2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0"/>
      <w:sz w:val="21"/>
      <w:szCs w:val="22"/>
      <w:lang w:val="en-US" w:eastAsia="zh-CN" w:bidi="ar-SA"/>
    </w:rPr>
  </w:style>
  <w:style w:type="paragraph" w:styleId="2">
    <w:name w:val="heading 2"/>
    <w:basedOn w:val="1"/>
    <w:next w:val="3"/>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note text"/>
    <w:basedOn w:val="1"/>
    <w:qFormat/>
    <w:uiPriority w:val="0"/>
    <w:pPr>
      <w:widowControl/>
      <w:jc w:val="left"/>
    </w:pPr>
    <w:rPr>
      <w:rFonts w:ascii="Arial" w:hAnsi="Arial" w:eastAsia="微软雅黑" w:cs="Times New Roman"/>
      <w:sz w:val="18"/>
      <w:szCs w:val="18"/>
    </w:rPr>
  </w:style>
  <w:style w:type="character" w:styleId="7">
    <w:name w:val="Hyperlink"/>
    <w:basedOn w:val="6"/>
    <w:unhideWhenUsed/>
    <w:qFormat/>
    <w:uiPriority w:val="99"/>
    <w:rPr>
      <w:color w:val="0000FF"/>
      <w:u w:val="single"/>
    </w:rPr>
  </w:style>
  <w:style w:type="character" w:styleId="8">
    <w:name w:val="footnote reference"/>
    <w:basedOn w:val="6"/>
    <w:qFormat/>
    <w:uiPriority w:val="0"/>
    <w:rPr>
      <w:vertAlign w:val="superscript"/>
    </w:rPr>
  </w:style>
  <w:style w:type="paragraph" w:customStyle="1" w:styleId="9">
    <w:name w:val="King&amp;WoodCN-大标题"/>
    <w:next w:val="1"/>
    <w:qFormat/>
    <w:uiPriority w:val="0"/>
    <w:pPr>
      <w:adjustRightInd w:val="0"/>
      <w:snapToGrid w:val="0"/>
      <w:spacing w:after="100" w:afterLines="100"/>
      <w:jc w:val="center"/>
      <w:outlineLvl w:val="0"/>
    </w:pPr>
    <w:rPr>
      <w:rFonts w:ascii="Arial" w:hAnsi="Arial" w:eastAsia="楷体_GB2312" w:cstheme="minorBidi"/>
      <w:b/>
      <w:kern w:val="2"/>
      <w:sz w:val="28"/>
      <w:szCs w:val="21"/>
      <w:lang w:val="en-US" w:eastAsia="zh-CN" w:bidi="ar-SA"/>
    </w:rPr>
  </w:style>
  <w:style w:type="paragraph" w:customStyle="1" w:styleId="10">
    <w:name w:val="King&amp;WoodCN-标准"/>
    <w:qFormat/>
    <w:uiPriority w:val="0"/>
    <w:pPr>
      <w:adjustRightInd w:val="0"/>
      <w:snapToGrid w:val="0"/>
      <w:spacing w:after="100" w:afterLines="100"/>
      <w:jc w:val="both"/>
    </w:pPr>
    <w:rPr>
      <w:rFonts w:ascii="Arial" w:hAnsi="Arial" w:eastAsia="楷体_GB2312" w:cstheme="minorBidi"/>
      <w:kern w:val="2"/>
      <w:sz w:val="24"/>
      <w:szCs w:val="21"/>
      <w:lang w:val="en-US" w:eastAsia="zh-CN" w:bidi="ar-SA"/>
    </w:rPr>
  </w:style>
  <w:style w:type="character" w:customStyle="1" w:styleId="11">
    <w:name w:val="fontstyle01"/>
    <w:basedOn w:val="6"/>
    <w:qFormat/>
    <w:uiPriority w:val="0"/>
    <w:rPr>
      <w:rFonts w:hint="eastAsia" w:ascii="楷体_GB2312" w:eastAsia="楷体_GB2312"/>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2026-06-22T08:45:00Z</dcterms:created>
  <dc:creator>xuetaoqi</dc:creator>
  <cp:lastModifiedBy>xuetaoqi</cp:lastModifiedBy>
  <dcterms:modified xsi:type="dcterms:W3CDTF">2026-06-22T08:45:32Z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841A7E6DEC5344728D13887C7A0259DD_11</vt:lpwstr>
  </property>
  <property fmtid="{D5CDD505-2E9C-101B-9397-08002B2CF9AE}" pid="4" name="KSOTemplateDocerSaveRecord">
    <vt:lpwstr>eyJoZGlkIjoiODEzNmYyMmJmNmRlYzcyZjIyN2NhMzRlNzk5ODI0MDkiLCJ1c2VySWQiOiIxMDQxMjkxNTI3In0=</vt:lpwstr>
  </property>
</Properties>
</file>