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C69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4382540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u w:val="none"/>
          <w:lang w:eastAsia="zh-CN"/>
        </w:rPr>
        <w:t>贸易政策合规自查表</w:t>
      </w:r>
    </w:p>
    <w:p w14:paraId="51D740B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0"/>
          <w:szCs w:val="30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0"/>
          <w:szCs w:val="30"/>
          <w:u w:val="none"/>
          <w:lang w:eastAsia="zh-CN"/>
        </w:rPr>
        <w:t>（模板）</w:t>
      </w:r>
    </w:p>
    <w:p w14:paraId="5A525AE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30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u w:val="none"/>
          <w:lang w:val="en-US" w:eastAsia="zh-CN"/>
        </w:rPr>
      </w:pPr>
    </w:p>
    <w:tbl>
      <w:tblPr>
        <w:tblStyle w:val="3"/>
        <w:tblW w:w="92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00"/>
        <w:gridCol w:w="1747"/>
        <w:gridCol w:w="865"/>
        <w:gridCol w:w="3283"/>
      </w:tblGrid>
      <w:tr w14:paraId="464D9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23" w:type="dxa"/>
            <w:noWrap w:val="0"/>
            <w:vAlign w:val="center"/>
          </w:tcPr>
          <w:p w14:paraId="31BAC2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贸易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政策</w:t>
            </w:r>
          </w:p>
          <w:p w14:paraId="29F2FF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395" w:type="dxa"/>
            <w:gridSpan w:val="4"/>
            <w:noWrap w:val="0"/>
            <w:vAlign w:val="top"/>
          </w:tcPr>
          <w:p w14:paraId="426396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A33CB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166E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23" w:type="dxa"/>
            <w:noWrap w:val="0"/>
            <w:vAlign w:val="center"/>
          </w:tcPr>
          <w:p w14:paraId="50112A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贸易政策</w:t>
            </w:r>
          </w:p>
          <w:p w14:paraId="05FDFE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7395" w:type="dxa"/>
            <w:gridSpan w:val="4"/>
            <w:noWrap w:val="0"/>
            <w:vAlign w:val="top"/>
          </w:tcPr>
          <w:p w14:paraId="2143C8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B67D0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433C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3" w:type="dxa"/>
            <w:noWrap w:val="0"/>
            <w:vAlign w:val="center"/>
          </w:tcPr>
          <w:p w14:paraId="3B76D0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7395" w:type="dxa"/>
            <w:gridSpan w:val="4"/>
            <w:noWrap w:val="0"/>
            <w:vAlign w:val="center"/>
          </w:tcPr>
          <w:p w14:paraId="36D92E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规章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□ 规范性文件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 其他政策措施  </w:t>
            </w:r>
          </w:p>
        </w:tc>
      </w:tr>
      <w:tr w14:paraId="75275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3" w:type="dxa"/>
            <w:noWrap w:val="0"/>
            <w:vAlign w:val="center"/>
          </w:tcPr>
          <w:p w14:paraId="317360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起草单位</w:t>
            </w:r>
          </w:p>
        </w:tc>
        <w:tc>
          <w:tcPr>
            <w:tcW w:w="7395" w:type="dxa"/>
            <w:gridSpan w:val="4"/>
            <w:noWrap w:val="0"/>
            <w:vAlign w:val="center"/>
          </w:tcPr>
          <w:p w14:paraId="1F44D2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BFE2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823" w:type="dxa"/>
            <w:vMerge w:val="restart"/>
            <w:noWrap w:val="0"/>
            <w:vAlign w:val="center"/>
          </w:tcPr>
          <w:p w14:paraId="7AF2D7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起草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处室</w:t>
            </w:r>
          </w:p>
          <w:p w14:paraId="6A0823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（部门）</w:t>
            </w:r>
          </w:p>
        </w:tc>
        <w:tc>
          <w:tcPr>
            <w:tcW w:w="1500" w:type="dxa"/>
            <w:noWrap w:val="0"/>
            <w:vAlign w:val="center"/>
          </w:tcPr>
          <w:p w14:paraId="2585D1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4AA9BB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072D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2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6D0A9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1DDE6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747" w:type="dxa"/>
            <w:tcBorders>
              <w:bottom w:val="single" w:color="auto" w:sz="4" w:space="0"/>
            </w:tcBorders>
            <w:noWrap w:val="0"/>
            <w:vAlign w:val="center"/>
          </w:tcPr>
          <w:p w14:paraId="34FA96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bottom w:val="single" w:color="auto" w:sz="4" w:space="0"/>
            </w:tcBorders>
            <w:noWrap w:val="0"/>
            <w:vAlign w:val="center"/>
          </w:tcPr>
          <w:p w14:paraId="1BF7A9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283" w:type="dxa"/>
            <w:tcBorders>
              <w:bottom w:val="single" w:color="auto" w:sz="4" w:space="0"/>
            </w:tcBorders>
            <w:noWrap w:val="0"/>
            <w:vAlign w:val="top"/>
          </w:tcPr>
          <w:p w14:paraId="10FBA7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4CAF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3" w:type="dxa"/>
            <w:tcBorders>
              <w:top w:val="single" w:color="auto" w:sz="4" w:space="0"/>
            </w:tcBorders>
            <w:noWrap w:val="0"/>
            <w:vAlign w:val="center"/>
          </w:tcPr>
          <w:p w14:paraId="1E2EF9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征求意见</w:t>
            </w:r>
          </w:p>
          <w:p w14:paraId="798570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7395" w:type="dxa"/>
            <w:gridSpan w:val="4"/>
            <w:noWrap w:val="0"/>
            <w:vAlign w:val="center"/>
          </w:tcPr>
          <w:p w14:paraId="7D946D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EB2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823" w:type="dxa"/>
            <w:noWrap w:val="0"/>
            <w:vAlign w:val="center"/>
          </w:tcPr>
          <w:p w14:paraId="5BBD94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专家咨询</w:t>
            </w:r>
          </w:p>
          <w:p w14:paraId="298795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  <w:p w14:paraId="45214B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（可选）</w:t>
            </w:r>
          </w:p>
        </w:tc>
        <w:tc>
          <w:tcPr>
            <w:tcW w:w="7395" w:type="dxa"/>
            <w:gridSpan w:val="4"/>
            <w:noWrap w:val="0"/>
            <w:vAlign w:val="top"/>
          </w:tcPr>
          <w:p w14:paraId="6C24D8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9F1B6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C897E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B5AD4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8EC81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（可附专家意见书）</w:t>
            </w:r>
          </w:p>
        </w:tc>
      </w:tr>
      <w:tr w14:paraId="024C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9218" w:type="dxa"/>
            <w:gridSpan w:val="5"/>
            <w:noWrap w:val="0"/>
            <w:vAlign w:val="center"/>
          </w:tcPr>
          <w:tbl>
            <w:tblPr>
              <w:tblStyle w:val="3"/>
              <w:tblW w:w="9711" w:type="dxa"/>
              <w:tblInd w:w="-47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8"/>
              <w:gridCol w:w="5385"/>
              <w:gridCol w:w="1973"/>
              <w:gridCol w:w="1075"/>
            </w:tblGrid>
            <w:tr w14:paraId="0F04D5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1134" w:hRule="atLeast"/>
                <w:tblHeader/>
              </w:trPr>
              <w:tc>
                <w:tcPr>
                  <w:tcW w:w="1278" w:type="dxa"/>
                  <w:noWrap w:val="0"/>
                  <w:textDirection w:val="tbRlV"/>
                  <w:vAlign w:val="center"/>
                </w:tcPr>
                <w:p w14:paraId="51B12550">
                  <w:pPr>
                    <w:ind w:left="113" w:right="113"/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类别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7C9CCAC0">
                  <w:pPr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自查内容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2C58F6BE">
                  <w:pPr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涉及条款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49EE9E9B">
                  <w:pPr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是否有</w:t>
                  </w:r>
                </w:p>
                <w:p w14:paraId="5D7B5B25">
                  <w:pPr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此类</w:t>
                  </w:r>
                </w:p>
                <w:p w14:paraId="04A74B83">
                  <w:pPr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/>
                      <w:bCs/>
                      <w:sz w:val="24"/>
                      <w:szCs w:val="24"/>
                      <w:vertAlign w:val="baseline"/>
                      <w:lang w:eastAsia="zh-CN"/>
                    </w:rPr>
                    <w:t>情况</w:t>
                  </w:r>
                </w:p>
              </w:tc>
            </w:tr>
            <w:tr w14:paraId="67BBFC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1278" w:type="dxa"/>
                  <w:vMerge w:val="restart"/>
                  <w:noWrap w:val="0"/>
                  <w:textDirection w:val="tbRlV"/>
                  <w:vAlign w:val="center"/>
                </w:tcPr>
                <w:p w14:paraId="2C22FB2F">
                  <w:pPr>
                    <w:ind w:left="113" w:right="113"/>
                    <w:jc w:val="center"/>
                    <w:rPr>
                      <w:rFonts w:hint="eastAsia" w:ascii="Times New Roman" w:hAnsi="Times New Roman" w:eastAsia="黑体" w:cs="Times New Roman"/>
                      <w:b/>
                      <w:bCs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一  货物贸易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4042539F">
                  <w:pPr>
                    <w:jc w:val="both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1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【数量限制】禁止进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出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口，或设定进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出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口数量限制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14362367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  <w:t>GATT第11条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74F67227">
                  <w:pPr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23C477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1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00B6EE2E">
                  <w:pPr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4758FCF8">
                  <w:pPr>
                    <w:jc w:val="both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.【贸易权】除国营贸易产品外，将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特定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产品的进出口权限定在特定企业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（不包括设定合理的资质要求）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1F210E22"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议定书第5条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363A7578"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4602E3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60A62F3A">
                  <w:pPr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32"/>
                      <w:szCs w:val="32"/>
                      <w:vertAlign w:val="baseline"/>
                    </w:rPr>
                  </w:pP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38955BDD">
                  <w:pP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3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.【检验检测】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在国际标准对拟实现的政策目标有效或适当的情况下，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制定技术法规未基于现有国际标准。对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进口产品适用的检验检测标准、技术法规或合格评定程序，高于或严于国内产品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lang w:eastAsia="zh-CN"/>
                    </w:rPr>
                    <w:t>。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对来自不同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lang w:eastAsia="zh-CN"/>
                    </w:rPr>
                    <w:t>世贸组织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成员的进口产品适用不同标准、技术法规或合格评定程序。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5E263EFC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TBT协定第2.1条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和第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2.4条</w:t>
                  </w:r>
                </w:p>
                <w:p w14:paraId="5252AAF8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1F1512F1">
                  <w:pPr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64145E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4D4E34E1">
                  <w:pPr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32"/>
                      <w:szCs w:val="32"/>
                      <w:vertAlign w:val="baseline"/>
                    </w:rPr>
                  </w:pP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45AE5262">
                  <w:pP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4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.【卫生检疫】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在制定世贸组织《实施卫生与植物卫生措施协定》有关措施时，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未基于现有国际标准、指南或建议，未基于风险评估。对来自情形相同或相似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世贸组织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成员的产品，适用不同卫生与植物卫生措施。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668435CC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SPS协定第2.3条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、第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3条和第5条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094E484F">
                  <w:pPr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373950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8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5036D5E1">
                  <w:pPr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32"/>
                      <w:szCs w:val="32"/>
                      <w:vertAlign w:val="baseline"/>
                    </w:rPr>
                  </w:pP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26FED67F">
                  <w:pPr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5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.【国内税】对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某一世贸组织成员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进口产品征收超过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国内或其他世贸组织成员同类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产品的国内税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费（不包括关税及进口环节所必须的费用）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22905C41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  <w:t>GATT第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1.1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  <w:t>条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和第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3.2条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38EB1BA3">
                  <w:pPr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1207DA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1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2230E48A">
                  <w:pPr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32"/>
                      <w:szCs w:val="32"/>
                      <w:vertAlign w:val="baseline"/>
                    </w:rPr>
                  </w:pP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0C222E45">
                  <w:pPr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【国内销售】在销售、运输、购买或使用等方面，给予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某一世贸组织成员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进口产品的待遇低于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国内或其他世贸组织成员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同类产品。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1E1A1EDA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  <w:t>GATT第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1.1条和第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  <w:t>3.4条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589F6A26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0865A7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24C2B1C3">
                  <w:pPr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32"/>
                      <w:szCs w:val="32"/>
                      <w:vertAlign w:val="baseline"/>
                    </w:rPr>
                  </w:pP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3C762D9D"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7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.【出口补贴】以出口实绩为条件对货物出口给予补贴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。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包括但不限于与出口数量或出口金额直接挂钩的补贴，对出口运费等与出口实绩相关的费用按比例给予补贴，对出口货物在国内运费、国内所需货物和服务等方面的待遇优于国内销售货物等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27AB703F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《补贴协定》</w:t>
                  </w:r>
                </w:p>
                <w:p w14:paraId="4CEE0907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第3.1条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642E3A6B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0525EE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3A30C071">
                  <w:pPr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32"/>
                      <w:szCs w:val="32"/>
                      <w:vertAlign w:val="baseline"/>
                    </w:rPr>
                  </w:pP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0FF4EF2A"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both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8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.【进口替代补贴】以购买或使用国产品为条件给予补贴。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包括但不限于对使用某些特定国产</w:t>
                  </w:r>
                  <w:r>
                    <w:rPr>
                      <w:rFonts w:hint="eastAsia" w:cs="Times New Roman"/>
                      <w:sz w:val="21"/>
                      <w:szCs w:val="21"/>
                      <w:vertAlign w:val="baseline"/>
                      <w:lang w:eastAsia="zh-CN"/>
                    </w:rPr>
                    <w:t>或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国内知识产权货物给予补贴、对使用一定国内含量货物给予补贴、对生产环节使用国产设备或工具给予补贴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4D425C27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《补贴协定》</w:t>
                  </w:r>
                </w:p>
                <w:p w14:paraId="126D81C0"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第3.1条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13895A20"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34D339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225B872A">
                  <w:pPr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32"/>
                      <w:szCs w:val="32"/>
                      <w:vertAlign w:val="baseline"/>
                    </w:rPr>
                  </w:pP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4E4CCF90"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both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9.【禁止性渔业补贴】对从事非法、未报告和无管制捕捞（IUU）或从事IUU捕捞相关活动的船舶或经营者提供补贴；对过度捕捞鱼类种群的捕捞与相关活动提供补贴，但旨在重建至生物可持续发展水平的补贴除外；对无管辖的公海领域捕捞提供补贴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6E08CE7C">
                  <w:pPr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vertAlign w:val="baseline"/>
                      <w:lang w:eastAsia="zh-CN"/>
                    </w:rPr>
                    <w:t>《渔业补贴协定》</w:t>
                  </w:r>
                </w:p>
                <w:p w14:paraId="51B7AA6B">
                  <w:pPr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vertAlign w:val="baseline"/>
                      <w:lang w:eastAsia="zh-CN"/>
                    </w:rPr>
                    <w:t>第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3.1条、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vertAlign w:val="baseline"/>
                      <w:lang w:eastAsia="zh-CN"/>
                    </w:rPr>
                    <w:t>第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4.1条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vertAlign w:val="baseline"/>
                      <w:lang w:eastAsia="zh-CN"/>
                    </w:rPr>
                    <w:t>和第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5.1条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72A05631">
                  <w:pPr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6DF035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1278" w:type="dxa"/>
                  <w:vMerge w:val="restart"/>
                  <w:noWrap w:val="0"/>
                  <w:textDirection w:val="tbRlV"/>
                  <w:vAlign w:val="center"/>
                </w:tcPr>
                <w:p w14:paraId="69C7061E">
                  <w:pPr>
                    <w:ind w:left="113" w:right="113"/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32"/>
                      <w:szCs w:val="32"/>
                      <w:vertAlign w:val="baseline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  <w:t>二</w:t>
                  </w:r>
                  <w:r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  <w:t>服务贸易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5D5A6941">
                  <w:pPr>
                    <w:jc w:val="both"/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10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【准入限制】对于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我国已承诺开放的服务部门，限制或禁止外国服务或服务提供者准入</w:t>
                  </w: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。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以数量配额、垄断、专营等方式，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限制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服务提供者数量</w:t>
                  </w: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。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以数量配额方式或者根据经济需求状况，对服务总营业额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服务资产总值、服务网点总数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服务产出总量、特定服务行业或服务提供者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雇佣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的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总人数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等加以限制</w:t>
                  </w: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。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要求</w:t>
                  </w: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服务提供者以特定组织形式提供服务</w:t>
                  </w: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vertAlign w:val="baseline"/>
                      <w:lang w:eastAsia="zh-CN"/>
                    </w:rPr>
                    <w:t>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580963B5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  <w:t>GATS第16条</w:t>
                  </w:r>
                </w:p>
                <w:p w14:paraId="66585EA3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  <w:t>议定书附件9</w:t>
                  </w:r>
                </w:p>
                <w:p w14:paraId="35DA96E4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  <w:t>（服务贸易具体</w:t>
                  </w:r>
                </w:p>
                <w:p w14:paraId="6C783A03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  <w:t>承诺减让表）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20404408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5F762C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4754AD1F">
                  <w:pPr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32"/>
                      <w:szCs w:val="32"/>
                      <w:vertAlign w:val="baseline"/>
                    </w:rPr>
                  </w:pP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36C503E0">
                  <w:pPr>
                    <w:jc w:val="both"/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1</w:t>
                  </w:r>
                  <w:r>
                    <w:rPr>
                      <w:rFonts w:hint="eastAsia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1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.【差别待遇】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给予某一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世贸组织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成员的服务或服务提供者的待遇，低于给予来自其他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世贸组织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成员的服务或者服务提供者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，除非签署的自贸协定另有规定</w:t>
                  </w: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3E30BB6B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GATS第2条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1173AF06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53B67B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71DAECC3">
                  <w:pPr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32"/>
                      <w:szCs w:val="32"/>
                      <w:vertAlign w:val="baseline"/>
                    </w:rPr>
                  </w:pPr>
                </w:p>
              </w:tc>
              <w:tc>
                <w:tcPr>
                  <w:tcW w:w="5385" w:type="dxa"/>
                  <w:noWrap w:val="0"/>
                  <w:vAlign w:val="top"/>
                </w:tcPr>
                <w:p w14:paraId="7440C4C6">
                  <w:pPr>
                    <w:jc w:val="left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1</w:t>
                  </w:r>
                  <w:r>
                    <w:rPr>
                      <w:rFonts w:hint="eastAsia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.【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国内法规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】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对服务提供者的资格和能力的要求，超出为保证该服务的质量所必需的限度。对服务提供者的许可程序和要求缺乏公开、透明、公开标准。涉及许可相关政策未在可行情况下提前征求社会意见。未提前公布许可相关要求、程序、费用、处理时间等信息。一项许可申请未在可行情况下由“单一部门”受理。未及时向许可申请人反馈办理进度。未向未通过的许可申请人说明理由及提供二次申请的机会。许可主管部门下属单位从事许可事项相关行业业务，与许可申请人存在竞争关系。许可费用不合理、不透明。资格考试时间安排不合理。技术标准未通过开放和透明的程序制定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0F8EE8B2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GATS第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条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、《服务贸易国内规制参考文件》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5A4986B6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2F5ABE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21D0C616">
                  <w:pPr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32"/>
                      <w:szCs w:val="32"/>
                      <w:vertAlign w:val="baseline"/>
                    </w:rPr>
                  </w:pP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1C830542"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left"/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13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.【有限开放】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在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某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些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服务部门仅对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特定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世贸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组织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成员开放，超出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我国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与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该成员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签署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的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自贸协定服务部门开放承诺范围。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3F4F4592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  <w:t>GATS第2条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3C7AC0B8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39E2CA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37846BA6">
                  <w:pPr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32"/>
                      <w:szCs w:val="32"/>
                      <w:vertAlign w:val="baseline"/>
                    </w:rPr>
                  </w:pP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2D84FEC4">
                  <w:pPr>
                    <w:jc w:val="left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14</w:t>
                  </w: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【优惠待遇】对于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我国已承诺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开放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的服务部门，给予国内服务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和服务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提供者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的待遇，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优于国外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同类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服务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eastAsia="zh-CN"/>
                    </w:rPr>
                    <w:t>和服务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</w:rPr>
                    <w:t>提供者</w:t>
                  </w: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54986B78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  <w:t>GATS第17条</w:t>
                  </w:r>
                </w:p>
                <w:p w14:paraId="71E85459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  <w:t>议定书附件9</w:t>
                  </w:r>
                </w:p>
                <w:p w14:paraId="4F22BE90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  <w:t>（服务贸易具体承诺减让表）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29845967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35D003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3" w:hRule="atLeast"/>
              </w:trPr>
              <w:tc>
                <w:tcPr>
                  <w:tcW w:w="1278" w:type="dxa"/>
                  <w:noWrap w:val="0"/>
                  <w:textDirection w:val="tbRlV"/>
                  <w:vAlign w:val="center"/>
                </w:tcPr>
                <w:p w14:paraId="3DBA6513">
                  <w:pPr>
                    <w:ind w:left="113" w:right="113"/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sz w:val="32"/>
                      <w:szCs w:val="32"/>
                      <w:vertAlign w:val="baseline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  <w:t>三</w:t>
                  </w:r>
                  <w:r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  <w:t>知识产权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0FAE94FC">
                  <w:pPr>
                    <w:jc w:val="left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15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.【权利的获得与救济】在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获得知识产权的行政程序和收费标准方面，以及申请知识产权保护的行政救济程序和收费标准方面，对中外当事人或者不同成员的当事人进行不同规定。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62E06887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TRIPS协定</w:t>
                  </w:r>
                </w:p>
                <w:p w14:paraId="5F8AB229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第3条、第4条、第62条、第42条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3BADBF32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093908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1278" w:type="dxa"/>
                  <w:vMerge w:val="restart"/>
                  <w:noWrap w:val="0"/>
                  <w:textDirection w:val="tbRlV"/>
                  <w:vAlign w:val="center"/>
                </w:tcPr>
                <w:p w14:paraId="433F5F66">
                  <w:pPr>
                    <w:ind w:left="113" w:right="113"/>
                    <w:jc w:val="center"/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  <w:t>四</w:t>
                  </w:r>
                  <w:r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  <w:t>外商投资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6D456E4C">
                  <w:pPr>
                    <w:jc w:val="left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16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.【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服务部门市场准入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】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lang w:eastAsia="zh-CN"/>
                    </w:rPr>
                    <w:t>对于我国已承诺开放的服务部门，外商投资股比等准入限制严于我国加入承诺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118A128E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  <w:t>GATS第17条</w:t>
                  </w:r>
                </w:p>
                <w:p w14:paraId="167B52DD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  <w:t>议定书附件9</w:t>
                  </w:r>
                </w:p>
                <w:p w14:paraId="1DCFA42E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</w:rPr>
                    <w:t>（服务贸易具体承诺减让表）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1B627AEA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390D5A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52AACFFE">
                  <w:pPr>
                    <w:jc w:val="center"/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7EDDAA81">
                  <w:pPr>
                    <w:jc w:val="both"/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1</w:t>
                  </w:r>
                  <w:r>
                    <w:rPr>
                      <w:rFonts w:hint="eastAsia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7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.【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投资要求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】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要求外商投资需满足出口实绩、当地含量、技术转让等要求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76EB1953">
                  <w:pPr>
                    <w:jc w:val="center"/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TRIMS协定附件</w:t>
                  </w:r>
                </w:p>
                <w:p w14:paraId="0064263B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例示清单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48380EB3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4C175C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46607C49">
                  <w:pPr>
                    <w:jc w:val="center"/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2C7D1B9D">
                  <w:pPr>
                    <w:jc w:val="both"/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1</w:t>
                  </w:r>
                  <w:r>
                    <w:rPr>
                      <w:rFonts w:hint="eastAsia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8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.【外企待遇】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在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国内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lang w:eastAsia="zh-CN"/>
                    </w:rPr>
                    <w:t>外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采购原料、零部件和服务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lang w:eastAsia="zh-CN"/>
                    </w:rPr>
                    <w:t>方面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，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lang w:eastAsia="zh-CN"/>
                    </w:rPr>
                    <w:t>国内外销售自产产品方面，及购买和使用交通、能源、基础电信、其他生产设施以及获得生产要素方面，给予外商投资企业的待遇低于内资企业的待遇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07C73BEE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议定书第3条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2F3797F8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19B535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1278" w:type="dxa"/>
                  <w:vMerge w:val="restart"/>
                  <w:noWrap w:val="0"/>
                  <w:textDirection w:val="tbRlV"/>
                  <w:vAlign w:val="center"/>
                </w:tcPr>
                <w:p w14:paraId="3759E184">
                  <w:pPr>
                    <w:ind w:left="113" w:right="113"/>
                    <w:jc w:val="center"/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  <w:t>五</w:t>
                  </w:r>
                  <w:r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  <w:t>透明度</w:t>
                  </w: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32227992">
                  <w:pPr>
                    <w:jc w:val="both"/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1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9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【公开】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将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eastAsia="zh-CN"/>
                    </w:rPr>
                    <w:t>需行政相对人（如自然人、企业等）知晓和执行的文件，设置为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不公开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eastAsia="zh-CN"/>
                    </w:rPr>
                    <w:t>文件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40A244AB">
                  <w:pPr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 xml:space="preserve">     议定书</w:t>
                  </w:r>
                </w:p>
                <w:p w14:paraId="1AF66D58">
                  <w:pPr>
                    <w:jc w:val="both"/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 xml:space="preserve">  第2条（C）段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50A59CE9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3DBDF2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0878CAB3">
                  <w:pPr>
                    <w:jc w:val="center"/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2023210D">
                  <w:pPr>
                    <w:jc w:val="both"/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20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.【征求意见】贸易政策措施公布后未提供合理时间供公众评议。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77D33459">
                  <w:pPr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 xml:space="preserve">     议定书</w:t>
                  </w:r>
                </w:p>
                <w:p w14:paraId="21A4AC04">
                  <w:pPr>
                    <w:jc w:val="both"/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 xml:space="preserve">  第2条（C）段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65B98775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698AF0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2EEF9189">
                  <w:pPr>
                    <w:jc w:val="center"/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2D17A897">
                  <w:pPr>
                    <w:jc w:val="both"/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21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【过渡期】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eastAsia="zh-CN"/>
                    </w:rPr>
                    <w:t>对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与国际标准不同的、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eastAsia="zh-CN"/>
                    </w:rPr>
                    <w:t>拟实施的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技术法规、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eastAsia="zh-CN"/>
                    </w:rPr>
                    <w:t>标准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和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eastAsia="zh-CN"/>
                    </w:rPr>
                    <w:t>卫生与植物卫生措施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，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eastAsia="zh-CN"/>
                    </w:rPr>
                    <w:t>未在公布及向世贸组织通报后预留不少于60天评议期，在公布和生效之间未预留不少于6个月过渡期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，属于紧急情况的除外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3B4E07F6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TBT协定第2条</w:t>
                  </w:r>
                </w:p>
                <w:p w14:paraId="311B8AB7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SPS协定第7条</w:t>
                  </w:r>
                </w:p>
                <w:p w14:paraId="0C21DE44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世贸组织会议</w:t>
                  </w:r>
                </w:p>
                <w:p w14:paraId="385BCE10">
                  <w:pPr>
                    <w:jc w:val="center"/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相关决议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5C080AC9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  <w:tr w14:paraId="1A8390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6D7601E0">
                  <w:pPr>
                    <w:jc w:val="center"/>
                    <w:rPr>
                      <w:rFonts w:hint="eastAsia" w:ascii="Times New Roman" w:hAnsi="Times New Roman" w:eastAsia="黑体" w:cs="Times New Roman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5385" w:type="dxa"/>
                  <w:noWrap w:val="0"/>
                  <w:vAlign w:val="center"/>
                </w:tcPr>
                <w:p w14:paraId="6DBF5E7E">
                  <w:pPr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22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【通报】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已通过政府网站公布的有关贸易政策，未纳入向世贸组织相关通报的范畴。</w:t>
                  </w:r>
                </w:p>
              </w:tc>
              <w:tc>
                <w:tcPr>
                  <w:tcW w:w="1973" w:type="dxa"/>
                  <w:noWrap w:val="0"/>
                  <w:vAlign w:val="center"/>
                </w:tcPr>
                <w:p w14:paraId="75CA21D2">
                  <w:pPr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《补贴协定》</w:t>
                  </w:r>
                </w:p>
                <w:p w14:paraId="54476ADF">
                  <w:pPr>
                    <w:jc w:val="center"/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第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25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条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等</w:t>
                  </w:r>
                </w:p>
              </w:tc>
              <w:tc>
                <w:tcPr>
                  <w:tcW w:w="1075" w:type="dxa"/>
                  <w:noWrap w:val="0"/>
                  <w:vAlign w:val="center"/>
                </w:tcPr>
                <w:p w14:paraId="2D077DBE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是□ 否□</w:t>
                  </w:r>
                </w:p>
              </w:tc>
            </w:tr>
          </w:tbl>
          <w:p w14:paraId="00FE4C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B97B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1823" w:type="dxa"/>
            <w:tcBorders>
              <w:right w:val="single" w:color="auto" w:sz="4" w:space="0"/>
            </w:tcBorders>
            <w:noWrap w:val="0"/>
            <w:vAlign w:val="center"/>
          </w:tcPr>
          <w:p w14:paraId="7A2B61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起草单位</w:t>
            </w:r>
          </w:p>
          <w:p w14:paraId="32D535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合规评估意见</w:t>
            </w:r>
          </w:p>
        </w:tc>
        <w:tc>
          <w:tcPr>
            <w:tcW w:w="7395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52110A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68001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AC80D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</w:p>
          <w:p w14:paraId="3500EF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C4329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7B3454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负责人：</w:t>
            </w:r>
          </w:p>
          <w:p w14:paraId="071A91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日期：</w:t>
            </w:r>
          </w:p>
        </w:tc>
      </w:tr>
    </w:tbl>
    <w:p w14:paraId="2C0300A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699B"/>
    <w:rsid w:val="208D6C69"/>
    <w:rsid w:val="FFFB69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2254</Words>
  <Characters>2368</Characters>
  <Lines>0</Lines>
  <Paragraphs>0</Paragraphs>
  <TotalTime>158.333333333333</TotalTime>
  <ScaleCrop>false</ScaleCrop>
  <LinksUpToDate>false</LinksUpToDate>
  <CharactersWithSpaces>2481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2026-06-23T11:12:00Z</dcterms:created>
  <dc:creator>shsww</dc:creator>
  <cp:lastModifiedBy>吴文峻</cp:lastModifiedBy>
  <dcterms:modified xsi:type="dcterms:W3CDTF">2026-06-26T08:59:36Z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AD97709FB15E462A8106A3613B35A750_13</vt:lpwstr>
  </property>
</Properties>
</file>